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AC92" w14:textId="4680D2AB" w:rsidR="008E4FEF" w:rsidRPr="00981E69" w:rsidRDefault="00832628" w:rsidP="009D6A46">
      <w:pPr>
        <w:jc w:val="center"/>
        <w:rPr>
          <w:rFonts w:asciiTheme="majorHAnsi" w:hAnsiTheme="majorHAnsi" w:cstheme="majorHAnsi"/>
          <w:bCs/>
          <w:sz w:val="28"/>
          <w:szCs w:val="28"/>
          <w:lang w:val="en-US"/>
        </w:rPr>
      </w:pPr>
      <w:proofErr w:type="spellStart"/>
      <w:r w:rsidRPr="00981E69">
        <w:rPr>
          <w:rFonts w:asciiTheme="majorHAnsi" w:hAnsiTheme="majorHAnsi" w:cstheme="majorHAnsi"/>
          <w:bCs/>
          <w:sz w:val="28"/>
          <w:szCs w:val="28"/>
          <w:lang w:val="en-US"/>
        </w:rPr>
        <w:t>Energy&amp;Strategy</w:t>
      </w:r>
      <w:proofErr w:type="spellEnd"/>
      <w:r w:rsidRPr="00981E69">
        <w:rPr>
          <w:rFonts w:asciiTheme="majorHAnsi" w:hAnsiTheme="majorHAnsi" w:cstheme="majorHAnsi"/>
          <w:bCs/>
          <w:sz w:val="28"/>
          <w:szCs w:val="28"/>
          <w:lang w:val="en-US"/>
        </w:rPr>
        <w:t xml:space="preserve"> </w:t>
      </w:r>
      <w:r w:rsidR="008E4FEF" w:rsidRPr="00981E69">
        <w:rPr>
          <w:rFonts w:asciiTheme="majorHAnsi" w:hAnsiTheme="majorHAnsi" w:cstheme="majorHAnsi"/>
          <w:bCs/>
          <w:sz w:val="28"/>
          <w:szCs w:val="28"/>
          <w:lang w:val="en-US"/>
        </w:rPr>
        <w:t xml:space="preserve">- School of Management </w:t>
      </w:r>
      <w:r w:rsidRPr="00981E69">
        <w:rPr>
          <w:rFonts w:asciiTheme="majorHAnsi" w:hAnsiTheme="majorHAnsi" w:cstheme="majorHAnsi"/>
          <w:bCs/>
          <w:sz w:val="28"/>
          <w:szCs w:val="28"/>
          <w:lang w:val="en-US"/>
        </w:rPr>
        <w:t>Politecnico di Milano</w:t>
      </w:r>
    </w:p>
    <w:p w14:paraId="3A033AAE" w14:textId="587E9991" w:rsidR="00895F5E" w:rsidRPr="0061501A" w:rsidRDefault="00895F5E" w:rsidP="009D6A46">
      <w:pPr>
        <w:jc w:val="center"/>
        <w:rPr>
          <w:rFonts w:asciiTheme="majorHAnsi" w:hAnsiTheme="majorHAnsi" w:cstheme="majorHAnsi"/>
          <w:bCs/>
          <w:sz w:val="28"/>
          <w:szCs w:val="28"/>
        </w:rPr>
      </w:pPr>
      <w:r w:rsidRPr="0061501A">
        <w:rPr>
          <w:rFonts w:asciiTheme="majorHAnsi" w:hAnsiTheme="majorHAnsi" w:cstheme="majorHAnsi"/>
          <w:bCs/>
          <w:sz w:val="28"/>
          <w:szCs w:val="28"/>
        </w:rPr>
        <w:t xml:space="preserve">Presentato il </w:t>
      </w:r>
      <w:proofErr w:type="spellStart"/>
      <w:r w:rsidRPr="0061501A">
        <w:rPr>
          <w:rFonts w:asciiTheme="majorHAnsi" w:hAnsiTheme="majorHAnsi" w:cstheme="majorHAnsi"/>
          <w:bCs/>
          <w:sz w:val="28"/>
          <w:szCs w:val="28"/>
        </w:rPr>
        <w:t>Digital</w:t>
      </w:r>
      <w:r w:rsidR="00326057">
        <w:rPr>
          <w:rFonts w:asciiTheme="majorHAnsi" w:hAnsiTheme="majorHAnsi" w:cstheme="majorHAnsi"/>
          <w:bCs/>
          <w:sz w:val="28"/>
          <w:szCs w:val="28"/>
        </w:rPr>
        <w:t>iza</w:t>
      </w:r>
      <w:r w:rsidRPr="0061501A">
        <w:rPr>
          <w:rFonts w:asciiTheme="majorHAnsi" w:hAnsiTheme="majorHAnsi" w:cstheme="majorHAnsi"/>
          <w:bCs/>
          <w:sz w:val="28"/>
          <w:szCs w:val="28"/>
        </w:rPr>
        <w:t>tion</w:t>
      </w:r>
      <w:r w:rsidR="00326057">
        <w:rPr>
          <w:rFonts w:asciiTheme="majorHAnsi" w:hAnsiTheme="majorHAnsi" w:cstheme="majorHAnsi"/>
          <w:bCs/>
          <w:sz w:val="28"/>
          <w:szCs w:val="28"/>
        </w:rPr>
        <w:t>&amp;</w:t>
      </w:r>
      <w:r w:rsidRPr="0061501A">
        <w:rPr>
          <w:rFonts w:asciiTheme="majorHAnsi" w:hAnsiTheme="majorHAnsi" w:cstheme="majorHAnsi"/>
          <w:bCs/>
          <w:sz w:val="28"/>
          <w:szCs w:val="28"/>
        </w:rPr>
        <w:t>Decarbonization</w:t>
      </w:r>
      <w:proofErr w:type="spellEnd"/>
      <w:r w:rsidRPr="0061501A">
        <w:rPr>
          <w:rFonts w:asciiTheme="majorHAnsi" w:hAnsiTheme="majorHAnsi" w:cstheme="majorHAnsi"/>
          <w:bCs/>
          <w:sz w:val="28"/>
          <w:szCs w:val="28"/>
        </w:rPr>
        <w:t xml:space="preserve"> Report 2023</w:t>
      </w:r>
    </w:p>
    <w:p w14:paraId="4FDBA5C4" w14:textId="77777777" w:rsidR="00964D8F" w:rsidRPr="005C7ADA" w:rsidRDefault="00964D8F" w:rsidP="009D6A46">
      <w:pPr>
        <w:jc w:val="center"/>
        <w:rPr>
          <w:rFonts w:asciiTheme="majorHAnsi" w:hAnsiTheme="majorHAnsi" w:cstheme="majorHAnsi"/>
          <w:bCs/>
          <w:sz w:val="8"/>
          <w:szCs w:val="8"/>
        </w:rPr>
      </w:pPr>
    </w:p>
    <w:p w14:paraId="22B5F439" w14:textId="051D3802" w:rsidR="00996D08" w:rsidRPr="00981E69" w:rsidRDefault="00C66EA8" w:rsidP="00C66EA8">
      <w:pPr>
        <w:jc w:val="center"/>
        <w:rPr>
          <w:rFonts w:asciiTheme="majorHAnsi" w:hAnsiTheme="majorHAnsi" w:cstheme="majorHAnsi"/>
          <w:b/>
          <w:bCs/>
          <w:sz w:val="32"/>
          <w:szCs w:val="32"/>
        </w:rPr>
      </w:pPr>
      <w:r w:rsidRPr="00981E69">
        <w:rPr>
          <w:rFonts w:asciiTheme="majorHAnsi" w:hAnsiTheme="majorHAnsi" w:cstheme="majorHAnsi"/>
          <w:b/>
          <w:bCs/>
          <w:sz w:val="32"/>
          <w:szCs w:val="32"/>
        </w:rPr>
        <w:t xml:space="preserve">La digitalizzazione elemento cardine per raggiungere la neutralità climatica. Italia meglio dell’Europa per copertura della rete 5G, diffusione base del digitale tra le PMI e sviluppo del cloud </w:t>
      </w:r>
    </w:p>
    <w:p w14:paraId="7A227AD6" w14:textId="77777777" w:rsidR="00C66EA8" w:rsidRPr="005C7ADA" w:rsidRDefault="00C66EA8" w:rsidP="00C66EA8">
      <w:pPr>
        <w:jc w:val="center"/>
        <w:rPr>
          <w:rFonts w:asciiTheme="majorHAnsi" w:hAnsiTheme="majorHAnsi" w:cstheme="majorHAnsi"/>
          <w:b/>
          <w:bCs/>
          <w:color w:val="FF0000"/>
          <w:sz w:val="16"/>
          <w:szCs w:val="16"/>
        </w:rPr>
      </w:pPr>
    </w:p>
    <w:p w14:paraId="00E3F971" w14:textId="33DE30EB" w:rsidR="00100A44" w:rsidRPr="00981E69" w:rsidRDefault="00100A44" w:rsidP="00100A44">
      <w:pPr>
        <w:spacing w:after="80"/>
        <w:jc w:val="both"/>
        <w:rPr>
          <w:rFonts w:ascii="Calibri" w:hAnsi="Calibri" w:cs="Calibri"/>
          <w:i/>
          <w:iCs/>
          <w:color w:val="000000" w:themeColor="text1"/>
          <w:sz w:val="22"/>
          <w:szCs w:val="22"/>
        </w:rPr>
      </w:pPr>
      <w:r w:rsidRPr="00981E69">
        <w:rPr>
          <w:rFonts w:ascii="Calibri" w:hAnsi="Calibri" w:cs="Calibri"/>
          <w:i/>
          <w:iCs/>
          <w:color w:val="000000" w:themeColor="text1"/>
          <w:sz w:val="22"/>
          <w:szCs w:val="22"/>
        </w:rPr>
        <w:t xml:space="preserve">La tecnologia permette di monitorare e massimizzare le politiche ambientali, ma le infrastrutture di cui si serve, come data center e reti di telecomunicazione, hanno a loro volta un impatto sulle emissioni che va mitigato promuovendo le fonti rinnovabili e incrementando l’efficienza energetica. Il carico di lavoro dei data center, ad esempio, </w:t>
      </w:r>
      <w:r w:rsidRPr="00981E69">
        <w:rPr>
          <w:rFonts w:ascii="Calibri" w:hAnsi="Calibri" w:cs="Calibri"/>
          <w:i/>
          <w:iCs/>
          <w:sz w:val="22"/>
          <w:szCs w:val="22"/>
        </w:rPr>
        <w:t xml:space="preserve">secondo i dati dell’IEA è cresciuto del 340% nel 2022 rispetto al 2015, ma l’aumento </w:t>
      </w:r>
      <w:r w:rsidR="000E70DB">
        <w:rPr>
          <w:rFonts w:ascii="Calibri" w:hAnsi="Calibri" w:cs="Calibri"/>
          <w:i/>
          <w:iCs/>
          <w:sz w:val="22"/>
          <w:szCs w:val="22"/>
        </w:rPr>
        <w:t xml:space="preserve">nei consumi è rimasto contenuto </w:t>
      </w:r>
      <w:r w:rsidRPr="00981E69">
        <w:rPr>
          <w:rFonts w:ascii="Calibri" w:hAnsi="Calibri" w:cs="Calibri"/>
          <w:i/>
          <w:iCs/>
          <w:sz w:val="22"/>
          <w:szCs w:val="22"/>
        </w:rPr>
        <w:t>tra il 20% e il 70%. Frattini: “</w:t>
      </w:r>
      <w:r w:rsidRPr="00981E69">
        <w:rPr>
          <w:rFonts w:ascii="Calibri" w:hAnsi="Calibri" w:cs="Calibri"/>
          <w:i/>
          <w:iCs/>
          <w:color w:val="000000" w:themeColor="text1"/>
          <w:sz w:val="22"/>
          <w:szCs w:val="22"/>
        </w:rPr>
        <w:t xml:space="preserve">Il PNRR è una delle principali leve per finanziare lo sviluppo del digitale in differenti settori nevralgici del Paese. Gli investimenti, soprattutto </w:t>
      </w:r>
      <w:r w:rsidR="00981E69">
        <w:rPr>
          <w:rFonts w:ascii="Calibri" w:hAnsi="Calibri" w:cs="Calibri"/>
          <w:i/>
          <w:iCs/>
          <w:color w:val="000000" w:themeColor="text1"/>
          <w:sz w:val="22"/>
          <w:szCs w:val="22"/>
        </w:rPr>
        <w:t>nell’energy</w:t>
      </w:r>
      <w:r w:rsidRPr="00981E69">
        <w:rPr>
          <w:rFonts w:ascii="Calibri" w:hAnsi="Calibri" w:cs="Calibri"/>
          <w:i/>
          <w:iCs/>
          <w:color w:val="000000" w:themeColor="text1"/>
          <w:sz w:val="22"/>
          <w:szCs w:val="22"/>
        </w:rPr>
        <w:t>, mostrano risultati incoraggianti e le assegnazioni dei bandi segnalano un notevole fermento e un</w:t>
      </w:r>
      <w:r w:rsidR="004F50AE">
        <w:rPr>
          <w:rFonts w:ascii="Calibri" w:hAnsi="Calibri" w:cs="Calibri"/>
          <w:i/>
          <w:iCs/>
          <w:color w:val="000000" w:themeColor="text1"/>
          <w:sz w:val="22"/>
          <w:szCs w:val="22"/>
        </w:rPr>
        <w:t>’</w:t>
      </w:r>
      <w:r w:rsidRPr="00981E69">
        <w:rPr>
          <w:rFonts w:ascii="Calibri" w:hAnsi="Calibri" w:cs="Calibri"/>
          <w:i/>
          <w:iCs/>
          <w:color w:val="000000" w:themeColor="text1"/>
          <w:sz w:val="22"/>
          <w:szCs w:val="22"/>
        </w:rPr>
        <w:t>opportunità importante per cambiare il volto tecnologico dell’Italia”</w:t>
      </w:r>
    </w:p>
    <w:p w14:paraId="337E374B" w14:textId="5BFC5C8A" w:rsidR="00F05620" w:rsidRPr="00996D08" w:rsidRDefault="00F05620" w:rsidP="00734321">
      <w:pPr>
        <w:spacing w:after="80"/>
        <w:jc w:val="both"/>
        <w:rPr>
          <w:rFonts w:ascii="Arial" w:hAnsi="Arial" w:cs="Arial"/>
          <w:i/>
          <w:iCs/>
          <w:sz w:val="8"/>
          <w:szCs w:val="8"/>
        </w:rPr>
      </w:pPr>
    </w:p>
    <w:p w14:paraId="33DEC680" w14:textId="1B019F89" w:rsidR="00F65D5A" w:rsidRPr="00F65D5A" w:rsidRDefault="00F65D5A" w:rsidP="00F65D5A">
      <w:pPr>
        <w:spacing w:after="80"/>
        <w:jc w:val="both"/>
        <w:rPr>
          <w:rFonts w:ascii="Calibri" w:hAnsi="Calibri" w:cs="Calibri"/>
          <w:color w:val="000000" w:themeColor="text1"/>
          <w:sz w:val="22"/>
          <w:szCs w:val="22"/>
        </w:rPr>
      </w:pPr>
      <w:r w:rsidRPr="00F65D5A">
        <w:rPr>
          <w:rFonts w:ascii="Calibri" w:hAnsi="Calibri" w:cs="Calibri"/>
          <w:color w:val="000000" w:themeColor="text1"/>
          <w:sz w:val="22"/>
          <w:szCs w:val="22"/>
        </w:rPr>
        <w:t xml:space="preserve">Milano, 24 gennaio 2024 - Per raggiungere l’obiettivo della neutralità climatica al 2050 la Comunità Europea ha </w:t>
      </w:r>
      <w:r w:rsidR="00895F5E">
        <w:rPr>
          <w:rFonts w:ascii="Calibri" w:hAnsi="Calibri" w:cs="Calibri"/>
          <w:color w:val="000000" w:themeColor="text1"/>
          <w:sz w:val="22"/>
          <w:szCs w:val="22"/>
        </w:rPr>
        <w:t>avviato</w:t>
      </w:r>
      <w:r w:rsidRPr="00F65D5A">
        <w:rPr>
          <w:rFonts w:ascii="Calibri" w:hAnsi="Calibri" w:cs="Calibri"/>
          <w:color w:val="000000" w:themeColor="text1"/>
          <w:sz w:val="22"/>
          <w:szCs w:val="22"/>
        </w:rPr>
        <w:t xml:space="preserve"> una transizione gemella “digitale-decarbonizzazione” tramite lo sviluppo di specifiche strutture di policy e</w:t>
      </w:r>
      <w:r w:rsidR="00895F5E">
        <w:rPr>
          <w:rFonts w:ascii="Calibri" w:hAnsi="Calibri" w:cs="Calibri"/>
          <w:color w:val="000000" w:themeColor="text1"/>
          <w:sz w:val="22"/>
          <w:szCs w:val="22"/>
        </w:rPr>
        <w:t xml:space="preserve"> </w:t>
      </w:r>
      <w:r w:rsidRPr="00F65D5A">
        <w:rPr>
          <w:rFonts w:ascii="Calibri" w:hAnsi="Calibri" w:cs="Calibri"/>
          <w:color w:val="000000" w:themeColor="text1"/>
          <w:sz w:val="22"/>
          <w:szCs w:val="22"/>
        </w:rPr>
        <w:t>di governance</w:t>
      </w:r>
      <w:r w:rsidR="0079489A">
        <w:rPr>
          <w:rFonts w:ascii="Calibri" w:hAnsi="Calibri" w:cs="Calibri"/>
          <w:color w:val="000000" w:themeColor="text1"/>
          <w:sz w:val="22"/>
          <w:szCs w:val="22"/>
        </w:rPr>
        <w:t>: la</w:t>
      </w:r>
      <w:r w:rsidRPr="00F65D5A">
        <w:rPr>
          <w:rFonts w:ascii="Calibri" w:hAnsi="Calibri" w:cs="Calibri"/>
          <w:color w:val="000000" w:themeColor="text1"/>
          <w:sz w:val="22"/>
          <w:szCs w:val="22"/>
        </w:rPr>
        <w:t xml:space="preserve"> digitalizzazione infatti è considerata un elemento cardine per la transizione verde, poiché permette di monitorare e massimizzare le politiche ambientali, ma allo stesso tempo ha un impatto non trascurabile sulle emissioni e richiede piani ad hoc per raggiungere la piena neutralità climatica delle proprie infrastrutture, come data center e reti di telecomunicazione, in particolare promuovendo le fonti rinnovabili per la produzione di energia e incrementando l’efficienza energetica.</w:t>
      </w:r>
    </w:p>
    <w:p w14:paraId="5854B972" w14:textId="113AF088" w:rsidR="0079489A" w:rsidRPr="00E0429E" w:rsidRDefault="0079489A" w:rsidP="0079489A">
      <w:pPr>
        <w:spacing w:after="80"/>
        <w:jc w:val="both"/>
        <w:rPr>
          <w:rFonts w:ascii="Calibri" w:hAnsi="Calibri" w:cs="Calibri"/>
          <w:sz w:val="22"/>
          <w:szCs w:val="22"/>
        </w:rPr>
      </w:pPr>
      <w:r>
        <w:rPr>
          <w:rFonts w:ascii="Calibri" w:hAnsi="Calibri" w:cs="Calibri"/>
          <w:sz w:val="22"/>
          <w:szCs w:val="22"/>
        </w:rPr>
        <w:t xml:space="preserve">In questa direzione va </w:t>
      </w:r>
      <w:r w:rsidRPr="00E0429E">
        <w:rPr>
          <w:rFonts w:ascii="Calibri" w:hAnsi="Calibri" w:cs="Calibri"/>
          <w:sz w:val="22"/>
          <w:szCs w:val="22"/>
        </w:rPr>
        <w:t xml:space="preserve">il Percorso verso il Decennio Digitale, un solido quadro di governance </w:t>
      </w:r>
      <w:r>
        <w:rPr>
          <w:rFonts w:ascii="Calibri" w:hAnsi="Calibri" w:cs="Calibri"/>
          <w:sz w:val="22"/>
          <w:szCs w:val="22"/>
        </w:rPr>
        <w:t xml:space="preserve">presentato dalla Commissione Europea a settembre </w:t>
      </w:r>
      <w:r w:rsidRPr="00E0429E">
        <w:rPr>
          <w:rFonts w:ascii="Calibri" w:hAnsi="Calibri" w:cs="Calibri"/>
          <w:sz w:val="22"/>
          <w:szCs w:val="22"/>
        </w:rPr>
        <w:t>per raggiungere obiettivi digitali al 2030 in merito a competenze, trasformazione digitale delle imprese, infrastrutture digitali e digitalizzazione dei servizi pubblici.</w:t>
      </w:r>
      <w:r>
        <w:rPr>
          <w:rFonts w:ascii="Calibri" w:hAnsi="Calibri" w:cs="Calibri"/>
          <w:sz w:val="22"/>
          <w:szCs w:val="22"/>
        </w:rPr>
        <w:t xml:space="preserve"> L’</w:t>
      </w:r>
      <w:r w:rsidR="00F65D5A" w:rsidRPr="00F65D5A">
        <w:rPr>
          <w:rFonts w:ascii="Calibri" w:hAnsi="Calibri" w:cs="Calibri"/>
          <w:color w:val="000000" w:themeColor="text1"/>
          <w:sz w:val="22"/>
          <w:szCs w:val="22"/>
        </w:rPr>
        <w:t xml:space="preserve">Italia ha fatto progressi soprattutto in termini di infrastrutture e di trasformazione dei business, superando la media UE in alcuni indicatori </w:t>
      </w:r>
      <w:proofErr w:type="gramStart"/>
      <w:r w:rsidR="00F65D5A" w:rsidRPr="00F65D5A">
        <w:rPr>
          <w:rFonts w:ascii="Calibri" w:hAnsi="Calibri" w:cs="Calibri"/>
          <w:color w:val="000000" w:themeColor="text1"/>
          <w:sz w:val="22"/>
          <w:szCs w:val="22"/>
        </w:rPr>
        <w:t>chiave</w:t>
      </w:r>
      <w:proofErr w:type="gramEnd"/>
      <w:r w:rsidR="00F65D5A" w:rsidRPr="00F65D5A">
        <w:rPr>
          <w:rFonts w:ascii="Calibri" w:hAnsi="Calibri" w:cs="Calibri"/>
          <w:color w:val="000000" w:themeColor="text1"/>
          <w:sz w:val="22"/>
          <w:szCs w:val="22"/>
        </w:rPr>
        <w:t xml:space="preserve"> tra cui la copertura della rete 5G, la diffusione di un livello base di intensità digitale fra le PMI e lo sviluppo del cloud, ma si posiziona al di sotto della media sulle skill digitali della popolazione e sulla digitalizzazione dei servizi pubblici</w:t>
      </w:r>
      <w:r>
        <w:rPr>
          <w:rFonts w:ascii="Calibri" w:hAnsi="Calibri" w:cs="Calibri"/>
          <w:color w:val="000000" w:themeColor="text1"/>
          <w:sz w:val="22"/>
          <w:szCs w:val="22"/>
        </w:rPr>
        <w:t>.</w:t>
      </w:r>
      <w:r>
        <w:rPr>
          <w:rFonts w:ascii="Calibri" w:hAnsi="Calibri" w:cs="Calibri"/>
          <w:sz w:val="22"/>
          <w:szCs w:val="22"/>
        </w:rPr>
        <w:t xml:space="preserve"> </w:t>
      </w:r>
    </w:p>
    <w:p w14:paraId="53638B38" w14:textId="33F7A820" w:rsidR="00895F5E" w:rsidRDefault="009D2429" w:rsidP="009D2429">
      <w:pPr>
        <w:spacing w:after="80"/>
        <w:jc w:val="both"/>
        <w:rPr>
          <w:rFonts w:ascii="Calibri" w:hAnsi="Calibri" w:cs="Calibri"/>
          <w:color w:val="000000" w:themeColor="text1"/>
          <w:sz w:val="22"/>
          <w:szCs w:val="22"/>
        </w:rPr>
      </w:pPr>
      <w:r>
        <w:rPr>
          <w:rFonts w:ascii="Calibri" w:hAnsi="Calibri" w:cs="Calibri"/>
          <w:color w:val="000000" w:themeColor="text1"/>
          <w:sz w:val="22"/>
          <w:szCs w:val="22"/>
        </w:rPr>
        <w:t xml:space="preserve">Di queste tematiche si occupa il </w:t>
      </w:r>
      <w:proofErr w:type="spellStart"/>
      <w:r>
        <w:rPr>
          <w:rFonts w:ascii="Calibri" w:hAnsi="Calibri" w:cs="Calibri"/>
          <w:color w:val="000000" w:themeColor="text1"/>
          <w:sz w:val="22"/>
          <w:szCs w:val="22"/>
        </w:rPr>
        <w:t>Digital</w:t>
      </w:r>
      <w:r w:rsidR="00D9629C">
        <w:rPr>
          <w:rFonts w:ascii="Calibri" w:hAnsi="Calibri" w:cs="Calibri"/>
          <w:color w:val="000000" w:themeColor="text1"/>
          <w:sz w:val="22"/>
          <w:szCs w:val="22"/>
        </w:rPr>
        <w:t>iz</w:t>
      </w:r>
      <w:r>
        <w:rPr>
          <w:rFonts w:ascii="Calibri" w:hAnsi="Calibri" w:cs="Calibri"/>
          <w:color w:val="000000" w:themeColor="text1"/>
          <w:sz w:val="22"/>
          <w:szCs w:val="22"/>
        </w:rPr>
        <w:t>ation</w:t>
      </w:r>
      <w:r w:rsidR="00D9629C">
        <w:rPr>
          <w:rFonts w:ascii="Calibri" w:hAnsi="Calibri" w:cs="Calibri"/>
          <w:color w:val="000000" w:themeColor="text1"/>
          <w:sz w:val="22"/>
          <w:szCs w:val="22"/>
        </w:rPr>
        <w:t>&amp;</w:t>
      </w:r>
      <w:r>
        <w:rPr>
          <w:rFonts w:ascii="Calibri" w:hAnsi="Calibri" w:cs="Calibri"/>
          <w:color w:val="000000" w:themeColor="text1"/>
          <w:sz w:val="22"/>
          <w:szCs w:val="22"/>
        </w:rPr>
        <w:t>Decarbonization</w:t>
      </w:r>
      <w:proofErr w:type="spellEnd"/>
      <w:r>
        <w:rPr>
          <w:rFonts w:ascii="Calibri" w:hAnsi="Calibri" w:cs="Calibri"/>
          <w:color w:val="000000" w:themeColor="text1"/>
          <w:sz w:val="22"/>
          <w:szCs w:val="22"/>
        </w:rPr>
        <w:t xml:space="preserve"> Report </w:t>
      </w:r>
      <w:r w:rsidRPr="008644A1">
        <w:rPr>
          <w:rFonts w:ascii="Calibri" w:hAnsi="Calibri" w:cs="Calibri"/>
          <w:sz w:val="22"/>
          <w:szCs w:val="22"/>
        </w:rPr>
        <w:t xml:space="preserve">2023, alla sua prima edizione, </w:t>
      </w:r>
      <w:r>
        <w:rPr>
          <w:rFonts w:ascii="Calibri" w:hAnsi="Calibri" w:cs="Calibri"/>
          <w:color w:val="000000" w:themeColor="text1"/>
          <w:sz w:val="22"/>
          <w:szCs w:val="22"/>
        </w:rPr>
        <w:t>redatto da</w:t>
      </w:r>
      <w:r w:rsidR="001E6BCF">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Energy&amp;Strategy</w:t>
      </w:r>
      <w:proofErr w:type="spellEnd"/>
      <w:r>
        <w:rPr>
          <w:rFonts w:ascii="Calibri" w:hAnsi="Calibri" w:cs="Calibri"/>
          <w:color w:val="000000" w:themeColor="text1"/>
          <w:sz w:val="22"/>
          <w:szCs w:val="22"/>
        </w:rPr>
        <w:t xml:space="preserve"> della School of Management del Politecnico di Milano e presentato oggi insieme alle aziende partner della ricerca. </w:t>
      </w:r>
      <w:r w:rsidR="00F65D5A" w:rsidRPr="00F65D5A">
        <w:rPr>
          <w:rFonts w:ascii="Calibri" w:hAnsi="Calibri" w:cs="Calibri"/>
          <w:color w:val="000000" w:themeColor="text1"/>
          <w:sz w:val="22"/>
          <w:szCs w:val="22"/>
        </w:rPr>
        <w:t>Nell’ottica della decarbonizzazione, le tecnologie digitali possono garantire</w:t>
      </w:r>
      <w:r w:rsidR="00F65D5A" w:rsidRPr="00F65D5A" w:rsidDel="00496434">
        <w:rPr>
          <w:rFonts w:ascii="Calibri" w:hAnsi="Calibri" w:cs="Calibri"/>
          <w:color w:val="000000" w:themeColor="text1"/>
          <w:sz w:val="22"/>
          <w:szCs w:val="22"/>
        </w:rPr>
        <w:t xml:space="preserve"> </w:t>
      </w:r>
      <w:r w:rsidR="00F65D5A" w:rsidRPr="00F65D5A">
        <w:rPr>
          <w:rFonts w:ascii="Calibri" w:hAnsi="Calibri" w:cs="Calibri"/>
          <w:color w:val="000000" w:themeColor="text1"/>
          <w:sz w:val="22"/>
          <w:szCs w:val="22"/>
        </w:rPr>
        <w:t xml:space="preserve">non solo un monitoraggio </w:t>
      </w:r>
      <w:r w:rsidR="00395CE8">
        <w:rPr>
          <w:rFonts w:ascii="Calibri" w:hAnsi="Calibri" w:cs="Calibri"/>
          <w:color w:val="000000" w:themeColor="text1"/>
          <w:sz w:val="22"/>
          <w:szCs w:val="22"/>
        </w:rPr>
        <w:t>adeguato</w:t>
      </w:r>
      <w:r w:rsidR="00895F5E">
        <w:rPr>
          <w:rFonts w:ascii="Calibri" w:hAnsi="Calibri" w:cs="Calibri"/>
          <w:color w:val="000000" w:themeColor="text1"/>
          <w:sz w:val="22"/>
          <w:szCs w:val="22"/>
        </w:rPr>
        <w:t xml:space="preserve"> </w:t>
      </w:r>
      <w:r w:rsidR="00F65D5A" w:rsidRPr="00F65D5A">
        <w:rPr>
          <w:rFonts w:ascii="Calibri" w:hAnsi="Calibri" w:cs="Calibri"/>
          <w:color w:val="000000" w:themeColor="text1"/>
          <w:sz w:val="22"/>
          <w:szCs w:val="22"/>
        </w:rPr>
        <w:t>dei parametri di funzionamento dei processi aziendali ed energetici, ma anche</w:t>
      </w:r>
      <w:r w:rsidR="00196D38">
        <w:rPr>
          <w:rFonts w:ascii="Calibri" w:hAnsi="Calibri" w:cs="Calibri"/>
          <w:color w:val="000000" w:themeColor="text1"/>
          <w:sz w:val="22"/>
          <w:szCs w:val="22"/>
        </w:rPr>
        <w:t xml:space="preserve"> una</w:t>
      </w:r>
      <w:r w:rsidR="00F65D5A" w:rsidRPr="00F65D5A">
        <w:rPr>
          <w:rFonts w:ascii="Calibri" w:hAnsi="Calibri" w:cs="Calibri"/>
          <w:color w:val="000000" w:themeColor="text1"/>
          <w:sz w:val="22"/>
          <w:szCs w:val="22"/>
        </w:rPr>
        <w:t xml:space="preserve"> maggiore automazione ed efficienza nell’utilizzo delle risorse. L’adozione di un più alto livello di digitalizzazione nei processi aziendali potrebbe inoltre supportare la verifica delle emissioni di gas serra e la creazione di passaporti digitali dei prodotti, migliorando la tracciabilità di materiali e componenti e abilitando modelli di </w:t>
      </w:r>
      <w:proofErr w:type="spellStart"/>
      <w:r w:rsidR="00F65D5A" w:rsidRPr="00F65D5A">
        <w:rPr>
          <w:rFonts w:ascii="Calibri" w:hAnsi="Calibri" w:cs="Calibri"/>
          <w:color w:val="000000" w:themeColor="text1"/>
          <w:sz w:val="22"/>
          <w:szCs w:val="22"/>
        </w:rPr>
        <w:t>circular</w:t>
      </w:r>
      <w:proofErr w:type="spellEnd"/>
      <w:r w:rsidR="00F65D5A" w:rsidRPr="00F65D5A">
        <w:rPr>
          <w:rFonts w:ascii="Calibri" w:hAnsi="Calibri" w:cs="Calibri"/>
          <w:color w:val="000000" w:themeColor="text1"/>
          <w:sz w:val="22"/>
          <w:szCs w:val="22"/>
        </w:rPr>
        <w:t xml:space="preserve"> economy. </w:t>
      </w:r>
    </w:p>
    <w:p w14:paraId="3FF4D957" w14:textId="00A90C24" w:rsidR="00BA22F3" w:rsidRDefault="00895F5E" w:rsidP="00BA22F3">
      <w:pPr>
        <w:spacing w:after="80"/>
        <w:jc w:val="both"/>
        <w:rPr>
          <w:rFonts w:ascii="Calibri" w:hAnsi="Calibri" w:cs="Calibri"/>
          <w:color w:val="000000" w:themeColor="text1"/>
          <w:sz w:val="22"/>
          <w:szCs w:val="22"/>
        </w:rPr>
      </w:pPr>
      <w:r>
        <w:rPr>
          <w:rFonts w:ascii="Calibri" w:hAnsi="Calibri" w:cs="Calibri"/>
          <w:color w:val="000000" w:themeColor="text1"/>
          <w:sz w:val="22"/>
          <w:szCs w:val="22"/>
        </w:rPr>
        <w:t>“</w:t>
      </w:r>
      <w:r w:rsidR="00F65D5A" w:rsidRPr="00F65D5A">
        <w:rPr>
          <w:rFonts w:ascii="Calibri" w:hAnsi="Calibri" w:cs="Calibri"/>
          <w:color w:val="000000" w:themeColor="text1"/>
          <w:sz w:val="22"/>
          <w:szCs w:val="22"/>
        </w:rPr>
        <w:t>Il PNRR</w:t>
      </w:r>
      <w:r>
        <w:rPr>
          <w:rFonts w:ascii="Calibri" w:hAnsi="Calibri" w:cs="Calibri"/>
          <w:color w:val="000000" w:themeColor="text1"/>
          <w:sz w:val="22"/>
          <w:szCs w:val="22"/>
        </w:rPr>
        <w:t xml:space="preserve"> è</w:t>
      </w:r>
      <w:r w:rsidR="00F65D5A" w:rsidRPr="00F65D5A">
        <w:rPr>
          <w:rFonts w:ascii="Calibri" w:hAnsi="Calibri" w:cs="Calibri"/>
          <w:color w:val="000000" w:themeColor="text1"/>
          <w:sz w:val="22"/>
          <w:szCs w:val="22"/>
        </w:rPr>
        <w:t xml:space="preserve"> una delle principali leve per finanziare lo sviluppo dell’ambito digitale in differenti settori nevralgici del Paese - commenta Federico Frattini, </w:t>
      </w:r>
      <w:r w:rsidR="00395CE8">
        <w:rPr>
          <w:rFonts w:ascii="Calibri" w:hAnsi="Calibri" w:cs="Calibri"/>
          <w:color w:val="000000" w:themeColor="text1"/>
          <w:sz w:val="22"/>
          <w:szCs w:val="22"/>
        </w:rPr>
        <w:t xml:space="preserve">vicedirettore di E&amp;S e </w:t>
      </w:r>
      <w:r w:rsidR="00F65D5A" w:rsidRPr="00F65D5A">
        <w:rPr>
          <w:rFonts w:ascii="Calibri" w:hAnsi="Calibri" w:cs="Calibri"/>
          <w:color w:val="000000" w:themeColor="text1"/>
          <w:sz w:val="22"/>
          <w:szCs w:val="22"/>
        </w:rPr>
        <w:t xml:space="preserve">responsabile dello studio - con stanziamenti complessivi </w:t>
      </w:r>
      <w:r>
        <w:rPr>
          <w:rFonts w:ascii="Calibri" w:hAnsi="Calibri" w:cs="Calibri"/>
          <w:color w:val="000000" w:themeColor="text1"/>
          <w:sz w:val="22"/>
          <w:szCs w:val="22"/>
        </w:rPr>
        <w:t>di</w:t>
      </w:r>
      <w:r w:rsidR="00F65D5A" w:rsidRPr="00F65D5A">
        <w:rPr>
          <w:rFonts w:ascii="Calibri" w:hAnsi="Calibri" w:cs="Calibri"/>
          <w:color w:val="000000" w:themeColor="text1"/>
          <w:sz w:val="22"/>
          <w:szCs w:val="22"/>
        </w:rPr>
        <w:t xml:space="preserve"> circa 34 miliardi di euro, già assegnati per oltre il 53%:  alcuni esempi di investimento sono la cybersecurity, la migrazione al cloud, il potenziamento della PA e lo sviluppo di reti ultraveloci, mentre nel settore energy, </w:t>
      </w:r>
      <w:r>
        <w:rPr>
          <w:rFonts w:ascii="Calibri" w:hAnsi="Calibri" w:cs="Calibri"/>
          <w:color w:val="000000" w:themeColor="text1"/>
          <w:sz w:val="22"/>
          <w:szCs w:val="22"/>
        </w:rPr>
        <w:t>che ha visto assegnati ben</w:t>
      </w:r>
      <w:r w:rsidR="00F65D5A" w:rsidRPr="00F65D5A">
        <w:rPr>
          <w:rFonts w:ascii="Calibri" w:hAnsi="Calibri" w:cs="Calibri"/>
          <w:color w:val="000000" w:themeColor="text1"/>
          <w:sz w:val="22"/>
          <w:szCs w:val="22"/>
        </w:rPr>
        <w:t xml:space="preserve"> 4,5 miliardi di euro su 5, riguardano in particolare lo sviluppo delle smart </w:t>
      </w:r>
      <w:proofErr w:type="spellStart"/>
      <w:r w:rsidR="00F65D5A" w:rsidRPr="00F65D5A">
        <w:rPr>
          <w:rFonts w:ascii="Calibri" w:hAnsi="Calibri" w:cs="Calibri"/>
          <w:color w:val="000000" w:themeColor="text1"/>
          <w:sz w:val="22"/>
          <w:szCs w:val="22"/>
        </w:rPr>
        <w:t>grid</w:t>
      </w:r>
      <w:proofErr w:type="spellEnd"/>
      <w:r w:rsidR="00F65D5A" w:rsidRPr="00F65D5A">
        <w:rPr>
          <w:rFonts w:ascii="Calibri" w:hAnsi="Calibri" w:cs="Calibri"/>
          <w:color w:val="000000" w:themeColor="text1"/>
          <w:sz w:val="22"/>
          <w:szCs w:val="22"/>
        </w:rPr>
        <w:t xml:space="preserve">, la realizzazione di sistemi di monitoraggio e la digitalizzazione delle reti di distribuzione dell’acqua, il rafforzamento delle infrastrutture elettriche. Gli investimenti sul digitale, soprattutto </w:t>
      </w:r>
      <w:r>
        <w:rPr>
          <w:rFonts w:ascii="Calibri" w:hAnsi="Calibri" w:cs="Calibri"/>
          <w:color w:val="000000" w:themeColor="text1"/>
          <w:sz w:val="22"/>
          <w:szCs w:val="22"/>
        </w:rPr>
        <w:t>nel</w:t>
      </w:r>
      <w:r w:rsidR="00F65D5A" w:rsidRPr="00F65D5A">
        <w:rPr>
          <w:rFonts w:ascii="Calibri" w:hAnsi="Calibri" w:cs="Calibri"/>
          <w:color w:val="000000" w:themeColor="text1"/>
          <w:sz w:val="22"/>
          <w:szCs w:val="22"/>
        </w:rPr>
        <w:t xml:space="preserve"> settore energy, mostrano dei risultati incoraggianti e le assegnazioni dei bandi conclusi o in corso segnalano un notevole fermento e un</w:t>
      </w:r>
      <w:r w:rsidR="00C22D29">
        <w:rPr>
          <w:rFonts w:ascii="Calibri" w:hAnsi="Calibri" w:cs="Calibri"/>
          <w:color w:val="000000" w:themeColor="text1"/>
          <w:sz w:val="22"/>
          <w:szCs w:val="22"/>
        </w:rPr>
        <w:t>’</w:t>
      </w:r>
      <w:r w:rsidR="00F65D5A" w:rsidRPr="00F65D5A">
        <w:rPr>
          <w:rFonts w:ascii="Calibri" w:hAnsi="Calibri" w:cs="Calibri"/>
          <w:color w:val="000000" w:themeColor="text1"/>
          <w:sz w:val="22"/>
          <w:szCs w:val="22"/>
        </w:rPr>
        <w:t xml:space="preserve">opportunità importante per cambiare il volto tecnologico dell’Italia”. </w:t>
      </w:r>
    </w:p>
    <w:p w14:paraId="3FD2C260" w14:textId="62F3D9BB" w:rsidR="00BA22F3" w:rsidRDefault="00BA22F3" w:rsidP="00BA22F3">
      <w:pPr>
        <w:spacing w:after="80"/>
        <w:jc w:val="both"/>
        <w:rPr>
          <w:rFonts w:ascii="Calibri" w:hAnsi="Calibri" w:cs="Calibri"/>
          <w:color w:val="000000" w:themeColor="text1"/>
          <w:sz w:val="22"/>
          <w:szCs w:val="22"/>
        </w:rPr>
      </w:pPr>
      <w:r>
        <w:rPr>
          <w:rFonts w:ascii="Calibri" w:hAnsi="Calibri" w:cs="Calibri"/>
          <w:color w:val="000000" w:themeColor="text1"/>
          <w:sz w:val="22"/>
          <w:szCs w:val="22"/>
        </w:rPr>
        <w:t xml:space="preserve">Particolare attenzione merita poi la </w:t>
      </w:r>
      <w:r w:rsidRPr="00046A3D">
        <w:rPr>
          <w:rFonts w:ascii="Calibri" w:hAnsi="Calibri" w:cs="Calibri"/>
          <w:iCs/>
          <w:sz w:val="22"/>
          <w:szCs w:val="22"/>
        </w:rPr>
        <w:t>forte crescita delle installazioni e dell’uso dei data center</w:t>
      </w:r>
      <w:r>
        <w:rPr>
          <w:rFonts w:ascii="Calibri" w:hAnsi="Calibri" w:cs="Calibri"/>
          <w:iCs/>
          <w:sz w:val="22"/>
          <w:szCs w:val="22"/>
        </w:rPr>
        <w:t>, fondamentali per la transizione digitale, che tuttavia non ha comportato</w:t>
      </w:r>
      <w:r w:rsidRPr="00046A3D">
        <w:rPr>
          <w:rFonts w:ascii="Calibri" w:hAnsi="Calibri" w:cs="Calibri"/>
          <w:iCs/>
          <w:sz w:val="22"/>
          <w:szCs w:val="22"/>
        </w:rPr>
        <w:t xml:space="preserve"> </w:t>
      </w:r>
      <w:r>
        <w:rPr>
          <w:rFonts w:ascii="Calibri" w:hAnsi="Calibri" w:cs="Calibri"/>
          <w:iCs/>
          <w:sz w:val="22"/>
          <w:szCs w:val="22"/>
        </w:rPr>
        <w:t xml:space="preserve">un aumento equivalente di consumi e di emissioni: </w:t>
      </w:r>
      <w:r w:rsidRPr="00046A3D">
        <w:rPr>
          <w:rFonts w:ascii="Calibri" w:hAnsi="Calibri" w:cs="Calibri"/>
          <w:iCs/>
          <w:sz w:val="22"/>
          <w:szCs w:val="22"/>
        </w:rPr>
        <w:t>s</w:t>
      </w:r>
      <w:r w:rsidRPr="001243B8">
        <w:rPr>
          <w:rFonts w:ascii="Calibri" w:hAnsi="Calibri" w:cs="Calibri"/>
          <w:iCs/>
          <w:sz w:val="22"/>
          <w:szCs w:val="22"/>
        </w:rPr>
        <w:t xml:space="preserve">econdo i dati dell’IEA, il </w:t>
      </w:r>
      <w:r>
        <w:rPr>
          <w:rFonts w:ascii="Calibri" w:hAnsi="Calibri" w:cs="Calibri"/>
          <w:iCs/>
          <w:sz w:val="22"/>
          <w:szCs w:val="22"/>
        </w:rPr>
        <w:t>carico di lavoro</w:t>
      </w:r>
      <w:r w:rsidRPr="001243B8">
        <w:rPr>
          <w:rFonts w:ascii="Calibri" w:hAnsi="Calibri" w:cs="Calibri"/>
          <w:iCs/>
          <w:sz w:val="22"/>
          <w:szCs w:val="22"/>
        </w:rPr>
        <w:t xml:space="preserve"> globale associato è </w:t>
      </w:r>
      <w:r>
        <w:rPr>
          <w:rFonts w:ascii="Calibri" w:hAnsi="Calibri" w:cs="Calibri"/>
          <w:iCs/>
          <w:sz w:val="22"/>
          <w:szCs w:val="22"/>
        </w:rPr>
        <w:t>salito</w:t>
      </w:r>
      <w:r w:rsidRPr="001243B8">
        <w:rPr>
          <w:rFonts w:ascii="Calibri" w:hAnsi="Calibri" w:cs="Calibri"/>
          <w:iCs/>
          <w:sz w:val="22"/>
          <w:szCs w:val="22"/>
        </w:rPr>
        <w:t xml:space="preserve"> del 340% nel 2022 rispetto al 2015, mentre i consumi </w:t>
      </w:r>
      <w:r>
        <w:rPr>
          <w:rFonts w:ascii="Calibri" w:hAnsi="Calibri" w:cs="Calibri"/>
          <w:iCs/>
          <w:sz w:val="22"/>
          <w:szCs w:val="22"/>
        </w:rPr>
        <w:t xml:space="preserve">sono cresciuti </w:t>
      </w:r>
      <w:r w:rsidRPr="001243B8">
        <w:rPr>
          <w:rFonts w:ascii="Calibri" w:hAnsi="Calibri" w:cs="Calibri"/>
          <w:iCs/>
          <w:sz w:val="22"/>
          <w:szCs w:val="22"/>
        </w:rPr>
        <w:t xml:space="preserve">solo </w:t>
      </w:r>
      <w:r>
        <w:rPr>
          <w:rFonts w:ascii="Calibri" w:hAnsi="Calibri" w:cs="Calibri"/>
          <w:iCs/>
          <w:sz w:val="22"/>
          <w:szCs w:val="22"/>
        </w:rPr>
        <w:t xml:space="preserve">del </w:t>
      </w:r>
      <w:r w:rsidRPr="001243B8">
        <w:rPr>
          <w:rFonts w:ascii="Calibri" w:hAnsi="Calibri" w:cs="Calibri"/>
          <w:iCs/>
          <w:sz w:val="22"/>
          <w:szCs w:val="22"/>
        </w:rPr>
        <w:t>20%</w:t>
      </w:r>
      <w:r>
        <w:rPr>
          <w:rFonts w:ascii="Calibri" w:hAnsi="Calibri" w:cs="Calibri"/>
          <w:iCs/>
          <w:sz w:val="22"/>
          <w:szCs w:val="22"/>
        </w:rPr>
        <w:t>-</w:t>
      </w:r>
      <w:r w:rsidRPr="001243B8">
        <w:rPr>
          <w:rFonts w:ascii="Calibri" w:hAnsi="Calibri" w:cs="Calibri"/>
          <w:iCs/>
          <w:sz w:val="22"/>
          <w:szCs w:val="22"/>
        </w:rPr>
        <w:t>70%</w:t>
      </w:r>
      <w:r>
        <w:rPr>
          <w:rFonts w:ascii="Calibri" w:hAnsi="Calibri" w:cs="Calibri"/>
          <w:iCs/>
          <w:sz w:val="22"/>
          <w:szCs w:val="22"/>
        </w:rPr>
        <w:t>,</w:t>
      </w:r>
      <w:r w:rsidRPr="001243B8">
        <w:rPr>
          <w:rFonts w:ascii="Calibri" w:hAnsi="Calibri" w:cs="Calibri"/>
          <w:iCs/>
          <w:sz w:val="22"/>
          <w:szCs w:val="22"/>
        </w:rPr>
        <w:t xml:space="preserve"> sia per l’incremento dell’efficienza della componentistica IT che </w:t>
      </w:r>
      <w:r w:rsidRPr="001243B8">
        <w:rPr>
          <w:rFonts w:ascii="Calibri" w:hAnsi="Calibri" w:cs="Calibri"/>
          <w:iCs/>
          <w:sz w:val="22"/>
          <w:szCs w:val="22"/>
        </w:rPr>
        <w:lastRenderedPageBreak/>
        <w:t>per una gestione efficace dell’energia di tutte le infrastrutture presenti all’interno del data center, a partire dai sistemi di cooling.</w:t>
      </w:r>
    </w:p>
    <w:p w14:paraId="7BE8BBF4" w14:textId="3F17AEFB" w:rsidR="00B6335F" w:rsidRPr="00A824CB" w:rsidRDefault="00B6335F" w:rsidP="00B6335F">
      <w:pPr>
        <w:spacing w:after="80"/>
        <w:jc w:val="both"/>
        <w:rPr>
          <w:rFonts w:asciiTheme="majorHAnsi" w:hAnsiTheme="majorHAnsi" w:cstheme="majorHAnsi"/>
          <w:color w:val="000000" w:themeColor="text1"/>
          <w:sz w:val="22"/>
          <w:szCs w:val="22"/>
        </w:rPr>
      </w:pPr>
      <w:r w:rsidRPr="00F65D5A">
        <w:rPr>
          <w:rFonts w:ascii="Calibri" w:hAnsi="Calibri" w:cs="Calibri"/>
          <w:color w:val="000000" w:themeColor="text1"/>
          <w:sz w:val="22"/>
          <w:szCs w:val="22"/>
        </w:rPr>
        <w:t>Nei comparti della produzione di energia, de</w:t>
      </w:r>
      <w:r w:rsidR="00895F5E">
        <w:rPr>
          <w:rFonts w:ascii="Calibri" w:hAnsi="Calibri" w:cs="Calibri"/>
          <w:color w:val="000000" w:themeColor="text1"/>
          <w:sz w:val="22"/>
          <w:szCs w:val="22"/>
        </w:rPr>
        <w:t>lla gestione de</w:t>
      </w:r>
      <w:r w:rsidRPr="00F65D5A">
        <w:rPr>
          <w:rFonts w:ascii="Calibri" w:hAnsi="Calibri" w:cs="Calibri"/>
          <w:color w:val="000000" w:themeColor="text1"/>
          <w:sz w:val="22"/>
          <w:szCs w:val="22"/>
        </w:rPr>
        <w:t>gli edifici e dei trasporti ci sono grandi margini di miglioramento, sia dal punto di vista normativo che dell’integrazione delle tecnologie digitali nel sistema. Emerge infatti una generale inadeguatezza del</w:t>
      </w:r>
      <w:r>
        <w:rPr>
          <w:rFonts w:ascii="Calibri" w:hAnsi="Calibri" w:cs="Calibri"/>
          <w:color w:val="000000" w:themeColor="text1"/>
          <w:sz w:val="22"/>
          <w:szCs w:val="22"/>
        </w:rPr>
        <w:t>le</w:t>
      </w:r>
      <w:r w:rsidRPr="00F65D5A">
        <w:rPr>
          <w:rFonts w:ascii="Calibri" w:hAnsi="Calibri" w:cs="Calibri"/>
          <w:color w:val="000000" w:themeColor="text1"/>
          <w:sz w:val="22"/>
          <w:szCs w:val="22"/>
        </w:rPr>
        <w:t xml:space="preserve"> norm</w:t>
      </w:r>
      <w:r>
        <w:rPr>
          <w:rFonts w:ascii="Calibri" w:hAnsi="Calibri" w:cs="Calibri"/>
          <w:color w:val="000000" w:themeColor="text1"/>
          <w:sz w:val="22"/>
          <w:szCs w:val="22"/>
        </w:rPr>
        <w:t>e</w:t>
      </w:r>
      <w:r w:rsidRPr="00F65D5A">
        <w:rPr>
          <w:rFonts w:ascii="Calibri" w:hAnsi="Calibri" w:cs="Calibri"/>
          <w:color w:val="000000" w:themeColor="text1"/>
          <w:sz w:val="22"/>
          <w:szCs w:val="22"/>
        </w:rPr>
        <w:t xml:space="preserve"> attual</w:t>
      </w:r>
      <w:r>
        <w:rPr>
          <w:rFonts w:ascii="Calibri" w:hAnsi="Calibri" w:cs="Calibri"/>
          <w:color w:val="000000" w:themeColor="text1"/>
          <w:sz w:val="22"/>
          <w:szCs w:val="22"/>
        </w:rPr>
        <w:t>i</w:t>
      </w:r>
      <w:r w:rsidRPr="00F65D5A">
        <w:rPr>
          <w:rFonts w:ascii="Calibri" w:hAnsi="Calibri" w:cs="Calibri"/>
          <w:color w:val="000000" w:themeColor="text1"/>
          <w:sz w:val="22"/>
          <w:szCs w:val="22"/>
        </w:rPr>
        <w:t xml:space="preserve">, che frena lo sviluppo e l’implementazione </w:t>
      </w:r>
      <w:r w:rsidR="00BB06F1">
        <w:rPr>
          <w:rFonts w:ascii="Calibri" w:hAnsi="Calibri" w:cs="Calibri"/>
          <w:color w:val="000000" w:themeColor="text1"/>
          <w:sz w:val="22"/>
          <w:szCs w:val="22"/>
        </w:rPr>
        <w:t>de</w:t>
      </w:r>
      <w:r w:rsidRPr="00F65D5A">
        <w:rPr>
          <w:rFonts w:ascii="Calibri" w:hAnsi="Calibri" w:cs="Calibri"/>
          <w:color w:val="000000" w:themeColor="text1"/>
          <w:sz w:val="22"/>
          <w:szCs w:val="22"/>
        </w:rPr>
        <w:t xml:space="preserve">lle tecnologie. Al contrario, pratiche come lo smart working e la dematerializzazione dei documenti possono contribuire </w:t>
      </w:r>
      <w:r w:rsidRPr="00A824CB">
        <w:rPr>
          <w:rFonts w:asciiTheme="majorHAnsi" w:hAnsiTheme="majorHAnsi" w:cstheme="majorHAnsi"/>
          <w:color w:val="000000" w:themeColor="text1"/>
          <w:sz w:val="22"/>
          <w:szCs w:val="22"/>
        </w:rPr>
        <w:t>concretamente alla riduzione dell’impatto emissivo delle aziende in diversi settori.</w:t>
      </w:r>
    </w:p>
    <w:p w14:paraId="54DCB8AE" w14:textId="77777777" w:rsidR="00F65D5A" w:rsidRPr="00F65D5A" w:rsidRDefault="00F65D5A" w:rsidP="00F65D5A">
      <w:pPr>
        <w:spacing w:after="80"/>
        <w:jc w:val="both"/>
        <w:rPr>
          <w:rFonts w:ascii="Calibri" w:hAnsi="Calibri" w:cs="Calibri"/>
          <w:b/>
          <w:bCs/>
          <w:color w:val="000000" w:themeColor="text1"/>
          <w:sz w:val="22"/>
          <w:szCs w:val="22"/>
        </w:rPr>
      </w:pPr>
      <w:r w:rsidRPr="00F65D5A">
        <w:rPr>
          <w:rFonts w:ascii="Calibri" w:hAnsi="Calibri" w:cs="Calibri"/>
          <w:b/>
          <w:bCs/>
          <w:color w:val="000000" w:themeColor="text1"/>
          <w:sz w:val="22"/>
          <w:szCs w:val="22"/>
        </w:rPr>
        <w:t xml:space="preserve">Produzione di energia, digitalizzazione degli edifici e smart </w:t>
      </w:r>
      <w:proofErr w:type="spellStart"/>
      <w:r w:rsidRPr="00F65D5A">
        <w:rPr>
          <w:rFonts w:ascii="Calibri" w:hAnsi="Calibri" w:cs="Calibri"/>
          <w:b/>
          <w:bCs/>
          <w:color w:val="000000" w:themeColor="text1"/>
          <w:sz w:val="22"/>
          <w:szCs w:val="22"/>
        </w:rPr>
        <w:t>transport</w:t>
      </w:r>
      <w:proofErr w:type="spellEnd"/>
    </w:p>
    <w:p w14:paraId="1EE6B9FB" w14:textId="70437BD2" w:rsidR="00F65D5A" w:rsidRPr="00F65D5A" w:rsidRDefault="00F65D5A" w:rsidP="00F65D5A">
      <w:pPr>
        <w:spacing w:after="80"/>
        <w:jc w:val="both"/>
        <w:rPr>
          <w:rFonts w:ascii="Calibri" w:hAnsi="Calibri" w:cs="Calibri"/>
          <w:color w:val="000000" w:themeColor="text1"/>
          <w:sz w:val="22"/>
          <w:szCs w:val="22"/>
        </w:rPr>
      </w:pPr>
      <w:r w:rsidRPr="00F65D5A">
        <w:rPr>
          <w:rFonts w:ascii="Calibri" w:hAnsi="Calibri" w:cs="Calibri"/>
          <w:color w:val="000000" w:themeColor="text1"/>
          <w:sz w:val="22"/>
          <w:szCs w:val="22"/>
        </w:rPr>
        <w:t xml:space="preserve">La decarbonizzazione della produzione energetica è certamente una delle priorità a cui possono contribuire soluzioni digitali come le </w:t>
      </w:r>
      <w:r w:rsidR="00395CE8">
        <w:rPr>
          <w:rFonts w:ascii="Calibri" w:hAnsi="Calibri" w:cs="Calibri"/>
          <w:color w:val="000000" w:themeColor="text1"/>
          <w:sz w:val="22"/>
          <w:szCs w:val="22"/>
        </w:rPr>
        <w:t>s</w:t>
      </w:r>
      <w:r w:rsidRPr="00F65D5A">
        <w:rPr>
          <w:rFonts w:ascii="Calibri" w:hAnsi="Calibri" w:cs="Calibri"/>
          <w:color w:val="000000" w:themeColor="text1"/>
          <w:sz w:val="22"/>
          <w:szCs w:val="22"/>
        </w:rPr>
        <w:t xml:space="preserve">mart </w:t>
      </w:r>
      <w:proofErr w:type="spellStart"/>
      <w:r w:rsidR="00395CE8">
        <w:rPr>
          <w:rFonts w:ascii="Calibri" w:hAnsi="Calibri" w:cs="Calibri"/>
          <w:color w:val="000000" w:themeColor="text1"/>
          <w:sz w:val="22"/>
          <w:szCs w:val="22"/>
        </w:rPr>
        <w:t>g</w:t>
      </w:r>
      <w:r w:rsidRPr="00F65D5A">
        <w:rPr>
          <w:rFonts w:ascii="Calibri" w:hAnsi="Calibri" w:cs="Calibri"/>
          <w:color w:val="000000" w:themeColor="text1"/>
          <w:sz w:val="22"/>
          <w:szCs w:val="22"/>
        </w:rPr>
        <w:t>rid</w:t>
      </w:r>
      <w:proofErr w:type="spellEnd"/>
      <w:r w:rsidRPr="00F65D5A">
        <w:rPr>
          <w:rFonts w:ascii="Calibri" w:hAnsi="Calibri" w:cs="Calibri"/>
          <w:color w:val="000000" w:themeColor="text1"/>
          <w:sz w:val="22"/>
          <w:szCs w:val="22"/>
        </w:rPr>
        <w:t xml:space="preserve">, il monitoraggio da remoto e l’integrazione di strumenti di manutenzione predittiva degli impianti. L’andamento delle emissioni mostra al 2021 </w:t>
      </w:r>
      <w:proofErr w:type="gramStart"/>
      <w:r w:rsidRPr="00F65D5A">
        <w:rPr>
          <w:rFonts w:ascii="Calibri" w:hAnsi="Calibri" w:cs="Calibri"/>
          <w:color w:val="000000" w:themeColor="text1"/>
          <w:sz w:val="22"/>
          <w:szCs w:val="22"/>
        </w:rPr>
        <w:t>un trend</w:t>
      </w:r>
      <w:proofErr w:type="gramEnd"/>
      <w:r w:rsidRPr="00F65D5A">
        <w:rPr>
          <w:rFonts w:ascii="Calibri" w:hAnsi="Calibri" w:cs="Calibri"/>
          <w:color w:val="000000" w:themeColor="text1"/>
          <w:sz w:val="22"/>
          <w:szCs w:val="22"/>
        </w:rPr>
        <w:t xml:space="preserve"> in riduzione (-37%) rispetto al 1990, passando da 137,6 a 86,4 MtCO</w:t>
      </w:r>
      <w:r w:rsidRPr="00F65D5A">
        <w:rPr>
          <w:rFonts w:ascii="Calibri" w:hAnsi="Calibri" w:cs="Calibri"/>
          <w:color w:val="000000" w:themeColor="text1"/>
          <w:sz w:val="22"/>
          <w:szCs w:val="22"/>
          <w:vertAlign w:val="subscript"/>
        </w:rPr>
        <w:t>2</w:t>
      </w:r>
      <w:r w:rsidRPr="00F65D5A">
        <w:rPr>
          <w:rFonts w:ascii="Calibri" w:hAnsi="Calibri" w:cs="Calibri"/>
          <w:color w:val="000000" w:themeColor="text1"/>
          <w:sz w:val="22"/>
          <w:szCs w:val="22"/>
        </w:rPr>
        <w:t>: rispetto al picco registrato nel 2006, le emissioni sono calate del 47% principalmente grazie all’aumento della produzione da fonti rinnovabili, le cui installazioni hanno raggiunt</w:t>
      </w:r>
      <w:r w:rsidR="00CC5706">
        <w:rPr>
          <w:rFonts w:ascii="Calibri" w:hAnsi="Calibri" w:cs="Calibri"/>
          <w:color w:val="000000" w:themeColor="text1"/>
          <w:sz w:val="22"/>
          <w:szCs w:val="22"/>
        </w:rPr>
        <w:t>o</w:t>
      </w:r>
      <w:r w:rsidRPr="00F65D5A">
        <w:rPr>
          <w:rFonts w:ascii="Calibri" w:hAnsi="Calibri" w:cs="Calibri"/>
          <w:color w:val="000000" w:themeColor="text1"/>
          <w:sz w:val="22"/>
          <w:szCs w:val="22"/>
        </w:rPr>
        <w:t xml:space="preserve"> nel 2022 i 63,6 GW. Tuttavia, gli operatori del comparto sottolineano una bassa adeguatezza normativa.</w:t>
      </w:r>
    </w:p>
    <w:p w14:paraId="1645A7D8" w14:textId="5B9F5079" w:rsidR="00F65D5A" w:rsidRPr="00F65D5A" w:rsidRDefault="00F65D5A" w:rsidP="00F65D5A">
      <w:pPr>
        <w:spacing w:after="80"/>
        <w:jc w:val="both"/>
        <w:rPr>
          <w:rFonts w:ascii="Calibri" w:hAnsi="Calibri" w:cs="Calibri"/>
          <w:b/>
          <w:bCs/>
          <w:color w:val="000000" w:themeColor="text1"/>
          <w:sz w:val="22"/>
          <w:szCs w:val="22"/>
        </w:rPr>
      </w:pPr>
      <w:r w:rsidRPr="00F65D5A">
        <w:rPr>
          <w:rFonts w:ascii="Calibri" w:hAnsi="Calibri" w:cs="Calibri"/>
          <w:noProof/>
          <w:color w:val="000000" w:themeColor="text1"/>
          <w:spacing w:val="-7"/>
          <w:sz w:val="22"/>
          <w:szCs w:val="22"/>
        </w:rPr>
        <mc:AlternateContent>
          <mc:Choice Requires="wps">
            <w:drawing>
              <wp:anchor distT="0" distB="0" distL="114300" distR="114300" simplePos="0" relativeHeight="251687936" behindDoc="0" locked="0" layoutInCell="1" allowOverlap="1" wp14:anchorId="478AAAE1" wp14:editId="6304E6BD">
                <wp:simplePos x="0" y="0"/>
                <wp:positionH relativeFrom="column">
                  <wp:posOffset>6038487</wp:posOffset>
                </wp:positionH>
                <wp:positionV relativeFrom="paragraph">
                  <wp:posOffset>49259</wp:posOffset>
                </wp:positionV>
                <wp:extent cx="0" cy="0"/>
                <wp:effectExtent l="0" t="0" r="0" b="0"/>
                <wp:wrapNone/>
                <wp:docPr id="804907671" name="Straight Connector 20"/>
                <wp:cNvGraphicFramePr/>
                <a:graphic xmlns:a="http://schemas.openxmlformats.org/drawingml/2006/main">
                  <a:graphicData uri="http://schemas.microsoft.com/office/word/2010/wordprocessingShape">
                    <wps:wsp>
                      <wps:cNvCnPr/>
                      <wps:spPr>
                        <a:xfrm flipH="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62D29" id="Straight Connector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45pt,3.9pt" to="475.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" strokecolor="#4579b8 [3044]"/>
            </w:pict>
          </mc:Fallback>
        </mc:AlternateContent>
      </w:r>
      <w:r w:rsidRPr="00F65D5A">
        <w:rPr>
          <w:rFonts w:ascii="Calibri" w:hAnsi="Calibri" w:cs="Calibri"/>
          <w:color w:val="000000" w:themeColor="text1"/>
          <w:sz w:val="22"/>
          <w:szCs w:val="22"/>
        </w:rPr>
        <w:t>Il settore degli edifici è molto complesso da decarbonizzare, poiché alla predisposizione digitale ex novo degli stabili in costruzione vanno affiancati interventi profondi ed estesi su un parco edilizio particolarmente vetusto.  Le emissioni degli edifici in Italia, infatti, anziché diminuire sono in aumento: +9% nel 2021 rispetto al 1990, da 69,19 a 75,5 MtCO</w:t>
      </w:r>
      <w:r w:rsidRPr="00F65D5A">
        <w:rPr>
          <w:rFonts w:ascii="Calibri" w:hAnsi="Calibri" w:cs="Calibri"/>
          <w:color w:val="000000" w:themeColor="text1"/>
          <w:sz w:val="22"/>
          <w:szCs w:val="22"/>
          <w:vertAlign w:val="subscript"/>
        </w:rPr>
        <w:t>2</w:t>
      </w:r>
      <w:r w:rsidRPr="00F65D5A">
        <w:rPr>
          <w:rFonts w:ascii="Calibri" w:hAnsi="Calibri" w:cs="Calibri"/>
          <w:color w:val="000000" w:themeColor="text1"/>
          <w:sz w:val="22"/>
          <w:szCs w:val="22"/>
        </w:rPr>
        <w:t>, per il 67% a causa del settore residenziale e per il 33% del terziario</w:t>
      </w:r>
      <w:r w:rsidR="00AB1905">
        <w:rPr>
          <w:rFonts w:ascii="Calibri" w:hAnsi="Calibri" w:cs="Calibri"/>
          <w:color w:val="000000" w:themeColor="text1"/>
          <w:sz w:val="22"/>
          <w:szCs w:val="22"/>
        </w:rPr>
        <w:t xml:space="preserve">; tuttavia, a fronte del </w:t>
      </w:r>
      <w:r w:rsidRPr="00F65D5A">
        <w:rPr>
          <w:rFonts w:ascii="Calibri" w:hAnsi="Calibri" w:cs="Calibri"/>
          <w:color w:val="000000" w:themeColor="text1"/>
          <w:sz w:val="22"/>
          <w:szCs w:val="22"/>
        </w:rPr>
        <w:t>picco del 2010 c’è stat</w:t>
      </w:r>
      <w:r w:rsidR="00AB1905">
        <w:rPr>
          <w:rFonts w:ascii="Calibri" w:hAnsi="Calibri" w:cs="Calibri"/>
          <w:color w:val="000000" w:themeColor="text1"/>
          <w:sz w:val="22"/>
          <w:szCs w:val="22"/>
        </w:rPr>
        <w:t xml:space="preserve">o un calo del </w:t>
      </w:r>
      <w:r w:rsidRPr="00F65D5A">
        <w:rPr>
          <w:rFonts w:ascii="Calibri" w:hAnsi="Calibri" w:cs="Calibri"/>
          <w:color w:val="000000" w:themeColor="text1"/>
          <w:sz w:val="22"/>
          <w:szCs w:val="22"/>
        </w:rPr>
        <w:t xml:space="preserve">14,3% grazie all’aumentata efficienza energetica degli edifici. </w:t>
      </w:r>
    </w:p>
    <w:p w14:paraId="0944C38B" w14:textId="3E33C477" w:rsidR="00F65D5A" w:rsidRPr="00F65D5A" w:rsidRDefault="003A7729" w:rsidP="00F65D5A">
      <w:pPr>
        <w:spacing w:after="80"/>
        <w:rPr>
          <w:rFonts w:ascii="Calibri" w:hAnsi="Calibri" w:cs="Calibri"/>
          <w:color w:val="000000" w:themeColor="text1"/>
          <w:sz w:val="22"/>
          <w:szCs w:val="22"/>
        </w:rPr>
      </w:pPr>
      <w:r w:rsidRPr="00F65D5A">
        <w:rPr>
          <w:rFonts w:ascii="Calibri" w:hAnsi="Calibri" w:cs="Calibri"/>
          <w:noProof/>
          <w:color w:val="000000" w:themeColor="text1"/>
          <w:sz w:val="22"/>
          <w:szCs w:val="22"/>
        </w:rPr>
        <w:drawing>
          <wp:anchor distT="0" distB="0" distL="114300" distR="114300" simplePos="0" relativeHeight="251688960" behindDoc="0" locked="0" layoutInCell="1" allowOverlap="1" wp14:anchorId="479BB36D" wp14:editId="587B2C7A">
            <wp:simplePos x="0" y="0"/>
            <wp:positionH relativeFrom="margin">
              <wp:align>left</wp:align>
            </wp:positionH>
            <wp:positionV relativeFrom="paragraph">
              <wp:posOffset>108040</wp:posOffset>
            </wp:positionV>
            <wp:extent cx="4140000" cy="2705637"/>
            <wp:effectExtent l="0" t="0" r="0" b="0"/>
            <wp:wrapSquare wrapText="bothSides"/>
            <wp:docPr id="346838841" name="Picture 6" descr="Immagine che contiene testo, schermata, Diagramm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chermata, Diagramma, Carattere&#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140000" cy="2705637"/>
                    </a:xfrm>
                    <a:prstGeom prst="rect">
                      <a:avLst/>
                    </a:prstGeom>
                  </pic:spPr>
                </pic:pic>
              </a:graphicData>
            </a:graphic>
            <wp14:sizeRelH relativeFrom="margin">
              <wp14:pctWidth>0</wp14:pctWidth>
            </wp14:sizeRelH>
            <wp14:sizeRelV relativeFrom="margin">
              <wp14:pctHeight>0</wp14:pctHeight>
            </wp14:sizeRelV>
          </wp:anchor>
        </w:drawing>
      </w:r>
    </w:p>
    <w:p w14:paraId="2E0E5635" w14:textId="77777777" w:rsidR="00F65D5A" w:rsidRPr="00F65D5A" w:rsidRDefault="00F65D5A" w:rsidP="00F65D5A">
      <w:pPr>
        <w:pStyle w:val="Didascalia"/>
        <w:spacing w:after="80"/>
        <w:rPr>
          <w:rFonts w:ascii="Calibri" w:hAnsi="Calibri" w:cs="Calibri"/>
          <w:b/>
          <w:bCs/>
          <w:color w:val="000000" w:themeColor="text1"/>
          <w:sz w:val="22"/>
          <w:szCs w:val="22"/>
        </w:rPr>
      </w:pPr>
    </w:p>
    <w:p w14:paraId="770DF742" w14:textId="77777777" w:rsidR="00F65D5A" w:rsidRPr="00F65D5A" w:rsidRDefault="00F65D5A" w:rsidP="00F65D5A">
      <w:pPr>
        <w:pStyle w:val="Didascalia"/>
        <w:spacing w:after="80"/>
        <w:rPr>
          <w:rFonts w:ascii="Calibri" w:hAnsi="Calibri" w:cs="Calibri"/>
          <w:b/>
          <w:bCs/>
          <w:color w:val="000000" w:themeColor="text1"/>
          <w:sz w:val="22"/>
          <w:szCs w:val="22"/>
        </w:rPr>
      </w:pPr>
    </w:p>
    <w:p w14:paraId="6DD38E2B" w14:textId="77777777" w:rsidR="00F65D5A" w:rsidRPr="00F65D5A" w:rsidRDefault="00F65D5A" w:rsidP="00F65D5A">
      <w:pPr>
        <w:pStyle w:val="Didascalia"/>
        <w:spacing w:after="80"/>
        <w:rPr>
          <w:rFonts w:ascii="Calibri" w:hAnsi="Calibri" w:cs="Calibri"/>
          <w:b/>
          <w:bCs/>
          <w:color w:val="000000" w:themeColor="text1"/>
          <w:sz w:val="22"/>
          <w:szCs w:val="22"/>
        </w:rPr>
      </w:pPr>
    </w:p>
    <w:p w14:paraId="6801F6BD" w14:textId="77777777" w:rsidR="00F65D5A" w:rsidRPr="00F65D5A" w:rsidRDefault="00F65D5A" w:rsidP="00F65D5A">
      <w:pPr>
        <w:pStyle w:val="Didascalia"/>
        <w:spacing w:after="80"/>
        <w:rPr>
          <w:rFonts w:ascii="Calibri" w:hAnsi="Calibri" w:cs="Calibri"/>
          <w:b/>
          <w:bCs/>
          <w:color w:val="000000" w:themeColor="text1"/>
          <w:sz w:val="22"/>
          <w:szCs w:val="22"/>
        </w:rPr>
      </w:pPr>
    </w:p>
    <w:p w14:paraId="2E6398E3" w14:textId="77777777" w:rsidR="00F65D5A" w:rsidRPr="00F65D5A" w:rsidRDefault="00F65D5A" w:rsidP="00F65D5A">
      <w:pPr>
        <w:pStyle w:val="Didascalia"/>
        <w:spacing w:after="80"/>
        <w:rPr>
          <w:rFonts w:ascii="Calibri" w:hAnsi="Calibri" w:cs="Calibri"/>
          <w:b/>
          <w:bCs/>
          <w:color w:val="000000" w:themeColor="text1"/>
          <w:sz w:val="22"/>
          <w:szCs w:val="22"/>
        </w:rPr>
      </w:pPr>
    </w:p>
    <w:p w14:paraId="3DED0957" w14:textId="77777777" w:rsidR="00F65D5A" w:rsidRPr="00F65D5A" w:rsidRDefault="00F65D5A" w:rsidP="00F65D5A">
      <w:pPr>
        <w:pStyle w:val="Didascalia"/>
        <w:spacing w:after="80"/>
        <w:rPr>
          <w:rFonts w:ascii="Calibri" w:hAnsi="Calibri" w:cs="Calibri"/>
          <w:b/>
          <w:bCs/>
          <w:color w:val="000000" w:themeColor="text1"/>
          <w:sz w:val="22"/>
          <w:szCs w:val="22"/>
        </w:rPr>
      </w:pPr>
    </w:p>
    <w:p w14:paraId="498C3662" w14:textId="77777777" w:rsidR="00F65D5A" w:rsidRPr="00F65D5A" w:rsidRDefault="00F65D5A" w:rsidP="00F65D5A">
      <w:pPr>
        <w:pStyle w:val="Didascalia"/>
        <w:spacing w:after="80"/>
        <w:rPr>
          <w:rFonts w:ascii="Calibri" w:hAnsi="Calibri" w:cs="Calibri"/>
          <w:b/>
          <w:bCs/>
          <w:color w:val="000000" w:themeColor="text1"/>
          <w:sz w:val="22"/>
          <w:szCs w:val="22"/>
        </w:rPr>
      </w:pPr>
    </w:p>
    <w:p w14:paraId="230F1709" w14:textId="77777777" w:rsidR="00F65D5A" w:rsidRPr="00F65D5A" w:rsidRDefault="00F65D5A" w:rsidP="00F65D5A">
      <w:pPr>
        <w:pStyle w:val="Didascalia"/>
        <w:spacing w:after="80"/>
        <w:rPr>
          <w:rFonts w:ascii="Calibri" w:hAnsi="Calibri" w:cs="Calibri"/>
          <w:b/>
          <w:bCs/>
          <w:color w:val="000000" w:themeColor="text1"/>
          <w:sz w:val="22"/>
          <w:szCs w:val="22"/>
        </w:rPr>
      </w:pPr>
    </w:p>
    <w:p w14:paraId="14F3680C" w14:textId="77777777" w:rsidR="00F65D5A" w:rsidRPr="00F65D5A" w:rsidRDefault="00F65D5A" w:rsidP="00F65D5A">
      <w:pPr>
        <w:pStyle w:val="Didascalia"/>
        <w:spacing w:after="80"/>
        <w:rPr>
          <w:rFonts w:ascii="Calibri" w:hAnsi="Calibri" w:cs="Calibri"/>
          <w:b/>
          <w:bCs/>
          <w:color w:val="000000" w:themeColor="text1"/>
          <w:sz w:val="22"/>
          <w:szCs w:val="22"/>
        </w:rPr>
      </w:pPr>
    </w:p>
    <w:p w14:paraId="68E9461A" w14:textId="77777777" w:rsidR="00BB06F1" w:rsidRPr="00395CE8" w:rsidRDefault="00BB06F1" w:rsidP="00395CE8"/>
    <w:p w14:paraId="4F2568B8" w14:textId="77777777" w:rsidR="0079489A" w:rsidRPr="00395CE8" w:rsidRDefault="0079489A" w:rsidP="00395CE8"/>
    <w:p w14:paraId="46202777" w14:textId="77777777" w:rsidR="00964D8F" w:rsidRDefault="00964D8F" w:rsidP="00F65D5A">
      <w:pPr>
        <w:pStyle w:val="Didascalia"/>
        <w:spacing w:after="80"/>
        <w:rPr>
          <w:rFonts w:ascii="Calibri" w:hAnsi="Calibri" w:cs="Calibri"/>
          <w:noProof/>
          <w:color w:val="000000" w:themeColor="text1"/>
        </w:rPr>
      </w:pPr>
    </w:p>
    <w:p w14:paraId="2BC9A6DA" w14:textId="77777777" w:rsidR="00964D8F" w:rsidRDefault="00964D8F" w:rsidP="00F65D5A">
      <w:pPr>
        <w:pStyle w:val="Didascalia"/>
        <w:spacing w:after="80"/>
        <w:rPr>
          <w:rFonts w:ascii="Calibri" w:hAnsi="Calibri" w:cs="Calibri"/>
          <w:noProof/>
          <w:color w:val="000000" w:themeColor="text1"/>
        </w:rPr>
      </w:pPr>
    </w:p>
    <w:p w14:paraId="6B99BB24" w14:textId="0FBB9ED9" w:rsidR="00F65D5A" w:rsidRPr="00395CE8" w:rsidRDefault="00F65D5A" w:rsidP="00F65D5A">
      <w:pPr>
        <w:pStyle w:val="Didascalia"/>
        <w:spacing w:after="80"/>
        <w:rPr>
          <w:rFonts w:ascii="Calibri" w:hAnsi="Calibri" w:cs="Calibri"/>
          <w:b/>
          <w:bCs/>
          <w:noProof/>
          <w:color w:val="000000" w:themeColor="text1"/>
        </w:rPr>
      </w:pPr>
      <w:r w:rsidRPr="00395CE8">
        <w:rPr>
          <w:rFonts w:ascii="Calibri" w:hAnsi="Calibri" w:cs="Calibri"/>
          <w:noProof/>
          <w:color w:val="000000" w:themeColor="text1"/>
        </w:rPr>
        <w:t>Il contesto emissivo per il settore degli edifici in Italia (Fonte: EEA)</w:t>
      </w:r>
    </w:p>
    <w:p w14:paraId="1A307474" w14:textId="77777777" w:rsidR="00964D8F" w:rsidRPr="00981E69" w:rsidRDefault="00964D8F" w:rsidP="00F65D5A">
      <w:pPr>
        <w:spacing w:after="80"/>
        <w:jc w:val="both"/>
        <w:rPr>
          <w:rFonts w:ascii="Calibri" w:hAnsi="Calibri" w:cs="Calibri"/>
          <w:color w:val="000000" w:themeColor="text1"/>
          <w:sz w:val="8"/>
          <w:szCs w:val="8"/>
        </w:rPr>
      </w:pPr>
    </w:p>
    <w:p w14:paraId="03AD381D" w14:textId="1375318B" w:rsidR="00F65D5A" w:rsidRPr="00F65D5A" w:rsidRDefault="00F65D5A" w:rsidP="00F65D5A">
      <w:pPr>
        <w:spacing w:after="80"/>
        <w:jc w:val="both"/>
        <w:rPr>
          <w:rFonts w:ascii="Calibri" w:hAnsi="Calibri" w:cs="Calibri"/>
          <w:color w:val="000000" w:themeColor="text1"/>
          <w:sz w:val="22"/>
          <w:szCs w:val="22"/>
        </w:rPr>
      </w:pPr>
      <w:r w:rsidRPr="00F65D5A">
        <w:rPr>
          <w:rFonts w:ascii="Calibri" w:hAnsi="Calibri" w:cs="Calibri"/>
          <w:color w:val="000000" w:themeColor="text1"/>
          <w:sz w:val="22"/>
          <w:szCs w:val="22"/>
        </w:rPr>
        <w:t xml:space="preserve">I trasporti rappresentano </w:t>
      </w:r>
      <w:r w:rsidR="001D4233">
        <w:rPr>
          <w:rFonts w:ascii="Calibri" w:hAnsi="Calibri" w:cs="Calibri"/>
          <w:color w:val="000000" w:themeColor="text1"/>
          <w:sz w:val="22"/>
          <w:szCs w:val="22"/>
        </w:rPr>
        <w:t>per l</w:t>
      </w:r>
      <w:r w:rsidR="001D4233" w:rsidRPr="00F65D5A">
        <w:rPr>
          <w:rFonts w:ascii="Calibri" w:hAnsi="Calibri" w:cs="Calibri"/>
          <w:color w:val="000000" w:themeColor="text1"/>
          <w:sz w:val="22"/>
          <w:szCs w:val="22"/>
        </w:rPr>
        <w:t xml:space="preserve">’alto potenziale di decarbonizzazione </w:t>
      </w:r>
      <w:r w:rsidRPr="00F65D5A">
        <w:rPr>
          <w:rFonts w:ascii="Calibri" w:hAnsi="Calibri" w:cs="Calibri"/>
          <w:color w:val="000000" w:themeColor="text1"/>
          <w:sz w:val="22"/>
          <w:szCs w:val="22"/>
        </w:rPr>
        <w:t xml:space="preserve">uno dei settori in più rapida evoluzione di tutte le tecnologie considerate, </w:t>
      </w:r>
      <w:r w:rsidR="00395CE8">
        <w:rPr>
          <w:rFonts w:ascii="Calibri" w:hAnsi="Calibri" w:cs="Calibri"/>
          <w:color w:val="000000" w:themeColor="text1"/>
          <w:sz w:val="22"/>
          <w:szCs w:val="22"/>
        </w:rPr>
        <w:t>e questo</w:t>
      </w:r>
      <w:r w:rsidRPr="00F65D5A">
        <w:rPr>
          <w:rFonts w:ascii="Calibri" w:hAnsi="Calibri" w:cs="Calibri"/>
          <w:color w:val="000000" w:themeColor="text1"/>
          <w:sz w:val="22"/>
          <w:szCs w:val="22"/>
        </w:rPr>
        <w:t xml:space="preserve"> crea vivo interesse negli operatori. Tuttavia, occorre sviluppare normative ad hoc per integrare al meglio queste tecnologie </w:t>
      </w:r>
      <w:r w:rsidR="003A7729">
        <w:rPr>
          <w:rFonts w:ascii="Calibri" w:hAnsi="Calibri" w:cs="Calibri"/>
          <w:color w:val="000000" w:themeColor="text1"/>
          <w:sz w:val="22"/>
          <w:szCs w:val="22"/>
        </w:rPr>
        <w:t>e</w:t>
      </w:r>
      <w:r w:rsidRPr="00F65D5A">
        <w:rPr>
          <w:rFonts w:ascii="Calibri" w:hAnsi="Calibri" w:cs="Calibri"/>
          <w:color w:val="000000" w:themeColor="text1"/>
          <w:sz w:val="22"/>
          <w:szCs w:val="22"/>
        </w:rPr>
        <w:t xml:space="preserve"> abbattere in breve tempo le emissioni di un settore che non riesce a compiere sostanziali passi in avanti: dal 1990 al 2021 i gas serra derivati dai trasporti (per il 60% dovuti a veicoli privati) sono cresciuti dell’1%, da 102,2 a 103,3 MtCO</w:t>
      </w:r>
      <w:r w:rsidRPr="00F65D5A">
        <w:rPr>
          <w:rFonts w:ascii="Calibri" w:hAnsi="Calibri" w:cs="Calibri"/>
          <w:color w:val="000000" w:themeColor="text1"/>
          <w:sz w:val="22"/>
          <w:szCs w:val="22"/>
          <w:vertAlign w:val="subscript"/>
        </w:rPr>
        <w:t>2</w:t>
      </w:r>
      <w:r w:rsidR="00E45E57">
        <w:rPr>
          <w:rFonts w:ascii="Calibri" w:hAnsi="Calibri" w:cs="Calibri"/>
          <w:color w:val="000000" w:themeColor="text1"/>
          <w:sz w:val="22"/>
          <w:szCs w:val="22"/>
        </w:rPr>
        <w:t xml:space="preserve"> (nonostante r</w:t>
      </w:r>
      <w:r w:rsidRPr="00F65D5A">
        <w:rPr>
          <w:rFonts w:ascii="Calibri" w:hAnsi="Calibri" w:cs="Calibri"/>
          <w:color w:val="000000" w:themeColor="text1"/>
          <w:sz w:val="22"/>
          <w:szCs w:val="22"/>
        </w:rPr>
        <w:t>ispetto al picco del 2004</w:t>
      </w:r>
      <w:r w:rsidR="00E45E57">
        <w:rPr>
          <w:rFonts w:ascii="Calibri" w:hAnsi="Calibri" w:cs="Calibri"/>
          <w:color w:val="000000" w:themeColor="text1"/>
          <w:sz w:val="22"/>
          <w:szCs w:val="22"/>
        </w:rPr>
        <w:t xml:space="preserve"> ci sia </w:t>
      </w:r>
      <w:r w:rsidRPr="00F65D5A">
        <w:rPr>
          <w:rFonts w:ascii="Calibri" w:hAnsi="Calibri" w:cs="Calibri"/>
          <w:color w:val="000000" w:themeColor="text1"/>
          <w:sz w:val="22"/>
          <w:szCs w:val="22"/>
        </w:rPr>
        <w:t>stato un calo del 20,5%</w:t>
      </w:r>
      <w:r w:rsidR="004812E6">
        <w:rPr>
          <w:rFonts w:ascii="Calibri" w:hAnsi="Calibri" w:cs="Calibri"/>
          <w:color w:val="000000" w:themeColor="text1"/>
          <w:sz w:val="22"/>
          <w:szCs w:val="22"/>
        </w:rPr>
        <w:t>)</w:t>
      </w:r>
      <w:r w:rsidRPr="00F65D5A">
        <w:rPr>
          <w:rFonts w:ascii="Calibri" w:hAnsi="Calibri" w:cs="Calibri"/>
          <w:color w:val="000000" w:themeColor="text1"/>
          <w:sz w:val="22"/>
          <w:szCs w:val="22"/>
        </w:rPr>
        <w:t>. L</w:t>
      </w:r>
      <w:r w:rsidR="003A7729">
        <w:rPr>
          <w:rFonts w:ascii="Calibri" w:hAnsi="Calibri" w:cs="Calibri"/>
          <w:color w:val="000000" w:themeColor="text1"/>
          <w:sz w:val="22"/>
          <w:szCs w:val="22"/>
        </w:rPr>
        <w:t>e difficoltà</w:t>
      </w:r>
      <w:r w:rsidRPr="00F65D5A">
        <w:rPr>
          <w:rFonts w:ascii="Calibri" w:hAnsi="Calibri" w:cs="Calibri"/>
          <w:color w:val="000000" w:themeColor="text1"/>
          <w:sz w:val="22"/>
          <w:szCs w:val="22"/>
        </w:rPr>
        <w:t xml:space="preserve"> di integrare nel sistema alcune tecnologie come la guida autonoma o l’ottimizzazione delle rotte richieder</w:t>
      </w:r>
      <w:r w:rsidR="003A7729">
        <w:rPr>
          <w:rFonts w:ascii="Calibri" w:hAnsi="Calibri" w:cs="Calibri"/>
          <w:color w:val="000000" w:themeColor="text1"/>
          <w:sz w:val="22"/>
          <w:szCs w:val="22"/>
        </w:rPr>
        <w:t xml:space="preserve">anno </w:t>
      </w:r>
      <w:r w:rsidRPr="00F65D5A">
        <w:rPr>
          <w:rFonts w:ascii="Calibri" w:hAnsi="Calibri" w:cs="Calibri"/>
          <w:color w:val="000000" w:themeColor="text1"/>
          <w:sz w:val="22"/>
          <w:szCs w:val="22"/>
        </w:rPr>
        <w:t xml:space="preserve">sforzi particolari sia da parte dell’industria che dei decisori, ma non possono essere ignorate. Lo smart working </w:t>
      </w:r>
      <w:r w:rsidR="00AB1905">
        <w:rPr>
          <w:rFonts w:ascii="Calibri" w:hAnsi="Calibri" w:cs="Calibri"/>
          <w:color w:val="000000" w:themeColor="text1"/>
          <w:sz w:val="22"/>
          <w:szCs w:val="22"/>
        </w:rPr>
        <w:t xml:space="preserve">può contribuire a evitare, per ogni lavoratore, una </w:t>
      </w:r>
      <w:r w:rsidR="00AB1905" w:rsidRPr="005C7ADA">
        <w:rPr>
          <w:rFonts w:ascii="Calibri" w:hAnsi="Calibri" w:cs="Calibri"/>
          <w:sz w:val="22"/>
          <w:szCs w:val="22"/>
        </w:rPr>
        <w:t xml:space="preserve">percorrenza fino a 42,6 km giornalieri e l’emissione di circa </w:t>
      </w:r>
      <w:r w:rsidR="003A7729" w:rsidRPr="005C7ADA">
        <w:rPr>
          <w:rFonts w:ascii="Calibri" w:hAnsi="Calibri" w:cs="Calibri"/>
          <w:sz w:val="22"/>
          <w:szCs w:val="22"/>
        </w:rPr>
        <w:t>7,2 kgCO</w:t>
      </w:r>
      <w:r w:rsidR="003A7729" w:rsidRPr="005C7ADA">
        <w:rPr>
          <w:rFonts w:ascii="Calibri" w:hAnsi="Calibri" w:cs="Calibri"/>
          <w:sz w:val="22"/>
          <w:szCs w:val="22"/>
          <w:vertAlign w:val="subscript"/>
        </w:rPr>
        <w:t>2</w:t>
      </w:r>
      <w:r w:rsidR="003A7729" w:rsidRPr="005C7ADA">
        <w:rPr>
          <w:rFonts w:ascii="Calibri" w:hAnsi="Calibri" w:cs="Calibri"/>
          <w:sz w:val="22"/>
          <w:szCs w:val="22"/>
        </w:rPr>
        <w:t xml:space="preserve">, </w:t>
      </w:r>
      <w:r w:rsidR="00AB1905" w:rsidRPr="005C7ADA">
        <w:rPr>
          <w:rFonts w:ascii="Calibri" w:hAnsi="Calibri" w:cs="Calibri"/>
          <w:sz w:val="22"/>
          <w:szCs w:val="22"/>
        </w:rPr>
        <w:t xml:space="preserve">nonostante </w:t>
      </w:r>
      <w:r w:rsidR="00AB1905">
        <w:rPr>
          <w:rFonts w:ascii="Calibri" w:hAnsi="Calibri" w:cs="Calibri"/>
          <w:color w:val="000000" w:themeColor="text1"/>
          <w:sz w:val="22"/>
          <w:szCs w:val="22"/>
        </w:rPr>
        <w:t xml:space="preserve">questo possa </w:t>
      </w:r>
      <w:r w:rsidR="00605686">
        <w:rPr>
          <w:rFonts w:ascii="Calibri" w:hAnsi="Calibri" w:cs="Calibri"/>
          <w:color w:val="000000" w:themeColor="text1"/>
          <w:sz w:val="22"/>
          <w:szCs w:val="22"/>
        </w:rPr>
        <w:t>portare a</w:t>
      </w:r>
      <w:r w:rsidR="00AB1905">
        <w:rPr>
          <w:rFonts w:ascii="Calibri" w:hAnsi="Calibri" w:cs="Calibri"/>
          <w:color w:val="000000" w:themeColor="text1"/>
          <w:sz w:val="22"/>
          <w:szCs w:val="22"/>
        </w:rPr>
        <w:t xml:space="preserve"> un aumento energetico nel comparto residenziale fino anche al 30%.</w:t>
      </w:r>
    </w:p>
    <w:p w14:paraId="3FF0BEA8" w14:textId="5C767773" w:rsidR="00F65D5A" w:rsidRPr="00F65D5A" w:rsidRDefault="00981E69" w:rsidP="0061501A">
      <w:pPr>
        <w:pStyle w:val="Didascalia"/>
        <w:spacing w:after="80"/>
        <w:jc w:val="both"/>
        <w:rPr>
          <w:rFonts w:ascii="Calibri" w:hAnsi="Calibri" w:cs="Calibri"/>
          <w:b/>
          <w:bCs/>
          <w:color w:val="000000" w:themeColor="text1"/>
          <w:sz w:val="22"/>
          <w:szCs w:val="22"/>
        </w:rPr>
      </w:pPr>
      <w:r w:rsidRPr="00F65D5A">
        <w:rPr>
          <w:rFonts w:ascii="Calibri" w:hAnsi="Calibri" w:cs="Calibri"/>
          <w:b/>
          <w:bCs/>
          <w:i w:val="0"/>
          <w:iCs w:val="0"/>
          <w:noProof/>
          <w:color w:val="000000" w:themeColor="text1"/>
          <w:sz w:val="22"/>
          <w:szCs w:val="22"/>
        </w:rPr>
        <w:lastRenderedPageBreak/>
        <w:drawing>
          <wp:anchor distT="0" distB="0" distL="114300" distR="114300" simplePos="0" relativeHeight="251700224" behindDoc="1" locked="0" layoutInCell="1" allowOverlap="1" wp14:anchorId="622C3F56" wp14:editId="47D1576F">
            <wp:simplePos x="0" y="0"/>
            <wp:positionH relativeFrom="margin">
              <wp:align>left</wp:align>
            </wp:positionH>
            <wp:positionV relativeFrom="paragraph">
              <wp:posOffset>62774</wp:posOffset>
            </wp:positionV>
            <wp:extent cx="4140000" cy="2711721"/>
            <wp:effectExtent l="0" t="0" r="0" b="0"/>
            <wp:wrapTight wrapText="bothSides">
              <wp:wrapPolygon edited="0">
                <wp:start x="0" y="0"/>
                <wp:lineTo x="0" y="21398"/>
                <wp:lineTo x="21471" y="21398"/>
                <wp:lineTo x="21471" y="0"/>
                <wp:lineTo x="0" y="0"/>
              </wp:wrapPolygon>
            </wp:wrapTight>
            <wp:docPr id="1219325364" name="Picture 10"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chermata, Carattere, Diagramma&#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4140000" cy="2711721"/>
                    </a:xfrm>
                    <a:prstGeom prst="rect">
                      <a:avLst/>
                    </a:prstGeom>
                  </pic:spPr>
                </pic:pic>
              </a:graphicData>
            </a:graphic>
            <wp14:sizeRelH relativeFrom="margin">
              <wp14:pctWidth>0</wp14:pctWidth>
            </wp14:sizeRelH>
            <wp14:sizeRelV relativeFrom="margin">
              <wp14:pctHeight>0</wp14:pctHeight>
            </wp14:sizeRelV>
          </wp:anchor>
        </w:drawing>
      </w:r>
    </w:p>
    <w:p w14:paraId="0B014468" w14:textId="5A03BCFF" w:rsidR="00F65D5A" w:rsidRPr="00F65D5A" w:rsidRDefault="00F65D5A" w:rsidP="00F65D5A">
      <w:pPr>
        <w:pStyle w:val="Didascalia"/>
        <w:spacing w:after="80"/>
        <w:rPr>
          <w:rFonts w:ascii="Calibri" w:hAnsi="Calibri" w:cs="Calibri"/>
          <w:b/>
          <w:bCs/>
          <w:color w:val="000000" w:themeColor="text1"/>
          <w:sz w:val="22"/>
          <w:szCs w:val="22"/>
        </w:rPr>
      </w:pPr>
    </w:p>
    <w:p w14:paraId="4AAA10D0" w14:textId="77777777" w:rsidR="00F65D5A" w:rsidRPr="00F65D5A" w:rsidRDefault="00F65D5A" w:rsidP="00F65D5A">
      <w:pPr>
        <w:pStyle w:val="Didascalia"/>
        <w:spacing w:after="80"/>
        <w:rPr>
          <w:rFonts w:ascii="Calibri" w:hAnsi="Calibri" w:cs="Calibri"/>
          <w:b/>
          <w:bCs/>
          <w:color w:val="000000" w:themeColor="text1"/>
          <w:sz w:val="22"/>
          <w:szCs w:val="22"/>
        </w:rPr>
      </w:pPr>
    </w:p>
    <w:p w14:paraId="7953DCE4" w14:textId="77777777" w:rsidR="00F65D5A" w:rsidRPr="00F65D5A" w:rsidRDefault="00F65D5A" w:rsidP="00F65D5A">
      <w:pPr>
        <w:pStyle w:val="Didascalia"/>
        <w:spacing w:after="80"/>
        <w:rPr>
          <w:rFonts w:ascii="Calibri" w:hAnsi="Calibri" w:cs="Calibri"/>
          <w:b/>
          <w:bCs/>
          <w:color w:val="000000" w:themeColor="text1"/>
          <w:sz w:val="22"/>
          <w:szCs w:val="22"/>
        </w:rPr>
      </w:pPr>
    </w:p>
    <w:p w14:paraId="214E1529" w14:textId="77777777" w:rsidR="00F65D5A" w:rsidRPr="00F65D5A" w:rsidRDefault="00F65D5A" w:rsidP="00F65D5A">
      <w:pPr>
        <w:pStyle w:val="Didascalia"/>
        <w:spacing w:after="80"/>
        <w:rPr>
          <w:rFonts w:ascii="Calibri" w:hAnsi="Calibri" w:cs="Calibri"/>
          <w:b/>
          <w:bCs/>
          <w:color w:val="000000" w:themeColor="text1"/>
          <w:sz w:val="22"/>
          <w:szCs w:val="22"/>
        </w:rPr>
      </w:pPr>
    </w:p>
    <w:p w14:paraId="4B8E82F6" w14:textId="77777777" w:rsidR="00F65D5A" w:rsidRPr="00F65D5A" w:rsidRDefault="00F65D5A" w:rsidP="00F65D5A">
      <w:pPr>
        <w:pStyle w:val="Didascalia"/>
        <w:spacing w:after="80"/>
        <w:rPr>
          <w:rFonts w:ascii="Calibri" w:hAnsi="Calibri" w:cs="Calibri"/>
          <w:b/>
          <w:bCs/>
          <w:noProof/>
          <w:color w:val="000000" w:themeColor="text1"/>
          <w:sz w:val="16"/>
          <w:szCs w:val="16"/>
        </w:rPr>
      </w:pPr>
    </w:p>
    <w:p w14:paraId="13A0BF97" w14:textId="77777777" w:rsidR="00BB06F1" w:rsidRPr="00395CE8" w:rsidRDefault="00BB06F1" w:rsidP="00395CE8"/>
    <w:p w14:paraId="22D5F2B6" w14:textId="77777777" w:rsidR="0079489A" w:rsidRDefault="0079489A" w:rsidP="0079489A"/>
    <w:p w14:paraId="3DFB4D86" w14:textId="77777777" w:rsidR="0079489A" w:rsidRDefault="0079489A" w:rsidP="0079489A"/>
    <w:p w14:paraId="3F657C16" w14:textId="77777777" w:rsidR="0079489A" w:rsidRDefault="0079489A" w:rsidP="0079489A"/>
    <w:p w14:paraId="4C226FE3" w14:textId="77777777" w:rsidR="0079489A" w:rsidRDefault="0079489A" w:rsidP="0079489A"/>
    <w:p w14:paraId="485C827E" w14:textId="77777777" w:rsidR="0079489A" w:rsidRDefault="0079489A" w:rsidP="0079489A"/>
    <w:p w14:paraId="405D8574" w14:textId="77777777" w:rsidR="0079489A" w:rsidRPr="00395CE8" w:rsidRDefault="0079489A" w:rsidP="00395CE8"/>
    <w:p w14:paraId="03CD4F8A" w14:textId="77777777" w:rsidR="0079489A" w:rsidRDefault="0079489A" w:rsidP="0079489A"/>
    <w:p w14:paraId="0D291071" w14:textId="77777777" w:rsidR="0079489A" w:rsidRPr="00395CE8" w:rsidRDefault="0079489A" w:rsidP="00395CE8">
      <w:pPr>
        <w:rPr>
          <w:sz w:val="18"/>
          <w:szCs w:val="18"/>
        </w:rPr>
      </w:pPr>
    </w:p>
    <w:p w14:paraId="3F963789" w14:textId="77777777" w:rsidR="00964D8F" w:rsidRPr="00981E69" w:rsidRDefault="00964D8F" w:rsidP="00F65D5A">
      <w:pPr>
        <w:pStyle w:val="Didascalia"/>
        <w:spacing w:after="80"/>
        <w:rPr>
          <w:rFonts w:ascii="Calibri" w:hAnsi="Calibri" w:cs="Calibri"/>
          <w:noProof/>
          <w:color w:val="000000" w:themeColor="text1"/>
          <w:sz w:val="8"/>
          <w:szCs w:val="8"/>
        </w:rPr>
      </w:pPr>
    </w:p>
    <w:p w14:paraId="36464D7D" w14:textId="5EE7EB96" w:rsidR="00F65D5A" w:rsidRPr="00395CE8" w:rsidRDefault="00F65D5A" w:rsidP="00F65D5A">
      <w:pPr>
        <w:pStyle w:val="Didascalia"/>
        <w:spacing w:after="80"/>
        <w:rPr>
          <w:rFonts w:ascii="Calibri" w:hAnsi="Calibri" w:cs="Calibri"/>
          <w:b/>
          <w:bCs/>
          <w:noProof/>
          <w:color w:val="000000" w:themeColor="text1"/>
        </w:rPr>
      </w:pPr>
      <w:r w:rsidRPr="00395CE8">
        <w:rPr>
          <w:rFonts w:ascii="Calibri" w:hAnsi="Calibri" w:cs="Calibri"/>
          <w:noProof/>
          <w:color w:val="000000" w:themeColor="text1"/>
        </w:rPr>
        <w:t>Il contesto emissivo per il settore dei trasporti in Italia (Fonte: EEA)</w:t>
      </w:r>
    </w:p>
    <w:p w14:paraId="421789FA" w14:textId="1A968A9B" w:rsidR="00F65D5A" w:rsidRPr="00F65D5A" w:rsidRDefault="003A7729" w:rsidP="00F65D5A">
      <w:pPr>
        <w:rPr>
          <w:color w:val="000000" w:themeColor="text1"/>
        </w:rPr>
      </w:pPr>
      <w:r w:rsidRPr="00F65D5A">
        <w:rPr>
          <w:rFonts w:ascii="Calibri" w:hAnsi="Calibri" w:cs="Calibri"/>
          <w:noProof/>
          <w:color w:val="000000" w:themeColor="text1"/>
          <w:sz w:val="22"/>
          <w:szCs w:val="22"/>
        </w:rPr>
        <w:drawing>
          <wp:anchor distT="0" distB="0" distL="114300" distR="114300" simplePos="0" relativeHeight="251689984" behindDoc="0" locked="0" layoutInCell="1" allowOverlap="1" wp14:anchorId="4C5C7044" wp14:editId="214A0A2C">
            <wp:simplePos x="0" y="0"/>
            <wp:positionH relativeFrom="margin">
              <wp:align>left</wp:align>
            </wp:positionH>
            <wp:positionV relativeFrom="paragraph">
              <wp:posOffset>74022</wp:posOffset>
            </wp:positionV>
            <wp:extent cx="3600000" cy="2840769"/>
            <wp:effectExtent l="0" t="0" r="635" b="0"/>
            <wp:wrapSquare wrapText="bothSides"/>
            <wp:docPr id="2091237279" name="Picture 13"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 schermata, Carattere, design&#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3600000" cy="2840769"/>
                    </a:xfrm>
                    <a:prstGeom prst="rect">
                      <a:avLst/>
                    </a:prstGeom>
                  </pic:spPr>
                </pic:pic>
              </a:graphicData>
            </a:graphic>
            <wp14:sizeRelH relativeFrom="margin">
              <wp14:pctWidth>0</wp14:pctWidth>
            </wp14:sizeRelH>
            <wp14:sizeRelV relativeFrom="margin">
              <wp14:pctHeight>0</wp14:pctHeight>
            </wp14:sizeRelV>
          </wp:anchor>
        </w:drawing>
      </w:r>
    </w:p>
    <w:p w14:paraId="1C15264C" w14:textId="26A171C6" w:rsidR="00F65D5A" w:rsidRPr="00F65D5A" w:rsidRDefault="00F65D5A" w:rsidP="00F65D5A">
      <w:pPr>
        <w:spacing w:after="160" w:line="288" w:lineRule="auto"/>
        <w:ind w:left="2160"/>
        <w:rPr>
          <w:rFonts w:ascii="Calibri" w:hAnsi="Calibri" w:cs="Calibri"/>
          <w:color w:val="000000" w:themeColor="text1"/>
          <w:sz w:val="22"/>
          <w:szCs w:val="22"/>
        </w:rPr>
      </w:pPr>
    </w:p>
    <w:p w14:paraId="726AE95A" w14:textId="77777777" w:rsidR="00F65D5A" w:rsidRPr="00F65D5A" w:rsidRDefault="00F65D5A" w:rsidP="00F65D5A">
      <w:pPr>
        <w:spacing w:after="80"/>
        <w:jc w:val="both"/>
        <w:rPr>
          <w:rFonts w:ascii="Calibri" w:hAnsi="Calibri" w:cs="Calibri"/>
          <w:color w:val="000000" w:themeColor="text1"/>
          <w:sz w:val="22"/>
          <w:szCs w:val="22"/>
        </w:rPr>
      </w:pPr>
    </w:p>
    <w:p w14:paraId="0A87274C" w14:textId="77777777" w:rsidR="00F65D5A" w:rsidRPr="00F65D5A" w:rsidRDefault="00F65D5A" w:rsidP="00F65D5A">
      <w:pPr>
        <w:spacing w:after="80"/>
        <w:jc w:val="both"/>
        <w:rPr>
          <w:rFonts w:ascii="Calibri" w:hAnsi="Calibri" w:cs="Calibri"/>
          <w:color w:val="000000" w:themeColor="text1"/>
          <w:sz w:val="22"/>
          <w:szCs w:val="22"/>
        </w:rPr>
      </w:pPr>
    </w:p>
    <w:p w14:paraId="7DFB3CFD" w14:textId="77777777" w:rsidR="00F65D5A" w:rsidRPr="00F65D5A" w:rsidRDefault="00F65D5A" w:rsidP="00F65D5A">
      <w:pPr>
        <w:spacing w:after="80"/>
        <w:jc w:val="both"/>
        <w:rPr>
          <w:rFonts w:ascii="Calibri" w:hAnsi="Calibri" w:cs="Calibri"/>
          <w:color w:val="000000" w:themeColor="text1"/>
          <w:sz w:val="22"/>
          <w:szCs w:val="22"/>
        </w:rPr>
      </w:pPr>
    </w:p>
    <w:p w14:paraId="2A5FA076" w14:textId="77777777" w:rsidR="00F65D5A" w:rsidRPr="00F65D5A" w:rsidRDefault="00F65D5A" w:rsidP="00F65D5A">
      <w:pPr>
        <w:spacing w:after="80"/>
        <w:jc w:val="both"/>
        <w:rPr>
          <w:rFonts w:ascii="Calibri" w:hAnsi="Calibri" w:cs="Calibri"/>
          <w:color w:val="000000" w:themeColor="text1"/>
          <w:sz w:val="22"/>
          <w:szCs w:val="22"/>
        </w:rPr>
      </w:pPr>
    </w:p>
    <w:p w14:paraId="319B8DBC" w14:textId="77777777" w:rsidR="00F65D5A" w:rsidRPr="00F65D5A" w:rsidRDefault="00F65D5A" w:rsidP="00F65D5A">
      <w:pPr>
        <w:spacing w:after="80"/>
        <w:jc w:val="both"/>
        <w:rPr>
          <w:rFonts w:ascii="Calibri" w:hAnsi="Calibri" w:cs="Calibri"/>
          <w:color w:val="000000" w:themeColor="text1"/>
          <w:sz w:val="22"/>
          <w:szCs w:val="22"/>
        </w:rPr>
      </w:pPr>
    </w:p>
    <w:p w14:paraId="379927FC" w14:textId="77777777" w:rsidR="00F65D5A" w:rsidRPr="00F65D5A" w:rsidRDefault="00F65D5A" w:rsidP="00F65D5A">
      <w:pPr>
        <w:spacing w:after="80"/>
        <w:jc w:val="both"/>
        <w:rPr>
          <w:rFonts w:ascii="Calibri" w:hAnsi="Calibri" w:cs="Calibri"/>
          <w:color w:val="000000" w:themeColor="text1"/>
          <w:sz w:val="22"/>
          <w:szCs w:val="22"/>
        </w:rPr>
      </w:pPr>
    </w:p>
    <w:p w14:paraId="099FBB5A" w14:textId="77777777" w:rsidR="00F65D5A" w:rsidRPr="00F65D5A" w:rsidRDefault="00F65D5A" w:rsidP="00F65D5A">
      <w:pPr>
        <w:spacing w:after="80"/>
        <w:jc w:val="both"/>
        <w:rPr>
          <w:rFonts w:ascii="Calibri" w:hAnsi="Calibri" w:cs="Calibri"/>
          <w:color w:val="000000" w:themeColor="text1"/>
          <w:sz w:val="22"/>
          <w:szCs w:val="22"/>
        </w:rPr>
      </w:pPr>
    </w:p>
    <w:p w14:paraId="4FE32624" w14:textId="77777777" w:rsidR="00F65D5A" w:rsidRPr="00F65D5A" w:rsidRDefault="00F65D5A" w:rsidP="00F65D5A">
      <w:pPr>
        <w:spacing w:after="80"/>
        <w:jc w:val="both"/>
        <w:rPr>
          <w:rFonts w:ascii="Calibri" w:hAnsi="Calibri" w:cs="Calibri"/>
          <w:color w:val="000000" w:themeColor="text1"/>
          <w:sz w:val="22"/>
          <w:szCs w:val="22"/>
        </w:rPr>
      </w:pPr>
    </w:p>
    <w:p w14:paraId="3C0E4547" w14:textId="77777777" w:rsidR="003A7729" w:rsidRPr="00395CE8" w:rsidRDefault="003A7729" w:rsidP="00395CE8"/>
    <w:p w14:paraId="4AD9680B" w14:textId="77777777" w:rsidR="0079489A" w:rsidRPr="00395CE8" w:rsidRDefault="0079489A" w:rsidP="00395CE8"/>
    <w:p w14:paraId="5A18664C" w14:textId="77777777" w:rsidR="00964D8F" w:rsidRDefault="00964D8F" w:rsidP="00F65D5A">
      <w:pPr>
        <w:pStyle w:val="Didascalia"/>
        <w:spacing w:after="80"/>
        <w:rPr>
          <w:rFonts w:ascii="Calibri" w:hAnsi="Calibri" w:cs="Calibri"/>
          <w:color w:val="000000" w:themeColor="text1"/>
        </w:rPr>
      </w:pPr>
    </w:p>
    <w:p w14:paraId="2CDC5721" w14:textId="77777777" w:rsidR="00964D8F" w:rsidRDefault="00964D8F" w:rsidP="00F65D5A">
      <w:pPr>
        <w:pStyle w:val="Didascalia"/>
        <w:spacing w:after="80"/>
        <w:rPr>
          <w:rFonts w:ascii="Calibri" w:hAnsi="Calibri" w:cs="Calibri"/>
          <w:color w:val="000000" w:themeColor="text1"/>
        </w:rPr>
      </w:pPr>
    </w:p>
    <w:p w14:paraId="3E39B2F0" w14:textId="3FE770BA" w:rsidR="00F65D5A" w:rsidRPr="00395CE8" w:rsidRDefault="00F65D5A" w:rsidP="00F65D5A">
      <w:pPr>
        <w:pStyle w:val="Didascalia"/>
        <w:spacing w:after="80"/>
        <w:rPr>
          <w:rFonts w:ascii="Calibri" w:hAnsi="Calibri" w:cs="Calibri"/>
          <w:b/>
          <w:bCs/>
          <w:color w:val="000000" w:themeColor="text1"/>
        </w:rPr>
      </w:pPr>
      <w:r w:rsidRPr="00395CE8">
        <w:rPr>
          <w:rFonts w:ascii="Calibri" w:hAnsi="Calibri" w:cs="Calibri"/>
          <w:color w:val="000000" w:themeColor="text1"/>
        </w:rPr>
        <w:t>Gli impatti dello smart working sui trasporti e sul settore residenziale (Fonte: EEA, ENEA)</w:t>
      </w:r>
    </w:p>
    <w:p w14:paraId="4FA739A5" w14:textId="028DC86B" w:rsidR="00ED41A0" w:rsidRPr="00395CE8" w:rsidRDefault="00ED41A0" w:rsidP="00ED41A0">
      <w:pPr>
        <w:spacing w:after="80"/>
        <w:jc w:val="both"/>
        <w:rPr>
          <w:rFonts w:ascii="Calibri" w:hAnsi="Calibri" w:cs="Calibri"/>
          <w:b/>
          <w:bCs/>
          <w:sz w:val="22"/>
          <w:szCs w:val="22"/>
        </w:rPr>
      </w:pPr>
      <w:r w:rsidRPr="00395CE8">
        <w:rPr>
          <w:rFonts w:ascii="Calibri" w:hAnsi="Calibri" w:cs="Calibri"/>
          <w:b/>
          <w:bCs/>
          <w:spacing w:val="10"/>
          <w:sz w:val="22"/>
          <w:szCs w:val="22"/>
        </w:rPr>
        <w:t>D</w:t>
      </w:r>
      <w:r w:rsidRPr="00395CE8">
        <w:rPr>
          <w:rFonts w:ascii="Calibri" w:hAnsi="Calibri" w:cs="Calibri"/>
          <w:b/>
          <w:bCs/>
          <w:sz w:val="22"/>
          <w:szCs w:val="22"/>
        </w:rPr>
        <w:t xml:space="preserve">igitale nelle aziende: numerose </w:t>
      </w:r>
      <w:r w:rsidR="00B6335F" w:rsidRPr="00395CE8">
        <w:rPr>
          <w:rFonts w:ascii="Calibri" w:hAnsi="Calibri" w:cs="Calibri"/>
          <w:b/>
          <w:bCs/>
          <w:sz w:val="22"/>
          <w:szCs w:val="22"/>
        </w:rPr>
        <w:t xml:space="preserve">le </w:t>
      </w:r>
      <w:r w:rsidRPr="00395CE8">
        <w:rPr>
          <w:rFonts w:ascii="Calibri" w:hAnsi="Calibri" w:cs="Calibri"/>
          <w:b/>
          <w:bCs/>
          <w:sz w:val="22"/>
          <w:szCs w:val="22"/>
        </w:rPr>
        <w:t>iniziative</w:t>
      </w:r>
      <w:r w:rsidR="00B6335F" w:rsidRPr="00395CE8">
        <w:rPr>
          <w:rFonts w:ascii="Calibri" w:hAnsi="Calibri" w:cs="Calibri"/>
          <w:b/>
          <w:bCs/>
          <w:sz w:val="22"/>
          <w:szCs w:val="22"/>
        </w:rPr>
        <w:t xml:space="preserve"> ma </w:t>
      </w:r>
      <w:r w:rsidRPr="00395CE8">
        <w:rPr>
          <w:rFonts w:ascii="Calibri" w:hAnsi="Calibri" w:cs="Calibri"/>
          <w:b/>
          <w:bCs/>
          <w:sz w:val="22"/>
          <w:szCs w:val="22"/>
        </w:rPr>
        <w:t xml:space="preserve">scarsa </w:t>
      </w:r>
      <w:r w:rsidR="00B6335F" w:rsidRPr="00395CE8">
        <w:rPr>
          <w:rFonts w:ascii="Calibri" w:hAnsi="Calibri" w:cs="Calibri"/>
          <w:b/>
          <w:bCs/>
          <w:sz w:val="22"/>
          <w:szCs w:val="22"/>
        </w:rPr>
        <w:t xml:space="preserve">la </w:t>
      </w:r>
      <w:r w:rsidRPr="00395CE8">
        <w:rPr>
          <w:rFonts w:ascii="Calibri" w:hAnsi="Calibri" w:cs="Calibri"/>
          <w:b/>
          <w:bCs/>
          <w:sz w:val="22"/>
          <w:szCs w:val="22"/>
        </w:rPr>
        <w:t>rendicontazione dei benefici ambientali</w:t>
      </w:r>
    </w:p>
    <w:p w14:paraId="07539B8C" w14:textId="7A596F1F" w:rsidR="0079489A" w:rsidRDefault="00ED41A0" w:rsidP="00ED41A0">
      <w:pPr>
        <w:spacing w:after="80"/>
        <w:jc w:val="both"/>
        <w:rPr>
          <w:rFonts w:ascii="Calibri" w:hAnsi="Calibri" w:cs="Calibri"/>
          <w:sz w:val="22"/>
          <w:szCs w:val="22"/>
        </w:rPr>
      </w:pPr>
      <w:r w:rsidRPr="00395CE8">
        <w:rPr>
          <w:rFonts w:ascii="Calibri" w:hAnsi="Calibri" w:cs="Calibri"/>
          <w:sz w:val="22"/>
          <w:szCs w:val="22"/>
        </w:rPr>
        <w:t xml:space="preserve">L’analisi dei bilanci di sostenibilità delle aziende dell’indice MIB ESG evidenzia la pervasività della leva digitale in tutti </w:t>
      </w:r>
      <w:r w:rsidR="00A824CB" w:rsidRPr="00395CE8">
        <w:rPr>
          <w:rFonts w:ascii="Calibri" w:hAnsi="Calibri" w:cs="Calibri"/>
          <w:sz w:val="22"/>
          <w:szCs w:val="22"/>
        </w:rPr>
        <w:t xml:space="preserve">i settori considerati e in tutti </w:t>
      </w:r>
      <w:r w:rsidRPr="00395CE8">
        <w:rPr>
          <w:rFonts w:ascii="Calibri" w:hAnsi="Calibri" w:cs="Calibri"/>
          <w:sz w:val="22"/>
          <w:szCs w:val="22"/>
        </w:rPr>
        <w:t>i processi aziendali</w:t>
      </w:r>
      <w:r w:rsidR="00A824CB" w:rsidRPr="00395CE8">
        <w:rPr>
          <w:rFonts w:ascii="Calibri" w:hAnsi="Calibri" w:cs="Calibri"/>
          <w:sz w:val="22"/>
          <w:szCs w:val="22"/>
        </w:rPr>
        <w:t>,</w:t>
      </w:r>
      <w:r w:rsidRPr="00395CE8">
        <w:rPr>
          <w:rFonts w:ascii="Calibri" w:hAnsi="Calibri" w:cs="Calibri"/>
          <w:sz w:val="22"/>
          <w:szCs w:val="22"/>
        </w:rPr>
        <w:t xml:space="preserve"> dalle </w:t>
      </w:r>
      <w:proofErr w:type="spellStart"/>
      <w:r w:rsidRPr="00395CE8">
        <w:rPr>
          <w:rFonts w:ascii="Calibri" w:hAnsi="Calibri" w:cs="Calibri"/>
          <w:sz w:val="22"/>
          <w:szCs w:val="22"/>
        </w:rPr>
        <w:t>operations</w:t>
      </w:r>
      <w:proofErr w:type="spellEnd"/>
      <w:r w:rsidRPr="00395CE8">
        <w:rPr>
          <w:rFonts w:ascii="Calibri" w:hAnsi="Calibri" w:cs="Calibri"/>
          <w:sz w:val="22"/>
          <w:szCs w:val="22"/>
        </w:rPr>
        <w:t xml:space="preserve"> fino alla gestione delle risorse umane</w:t>
      </w:r>
      <w:r w:rsidR="00421B85" w:rsidRPr="00395CE8">
        <w:rPr>
          <w:rFonts w:ascii="Calibri" w:hAnsi="Calibri" w:cs="Calibri"/>
          <w:sz w:val="22"/>
          <w:szCs w:val="22"/>
        </w:rPr>
        <w:t xml:space="preserve"> (</w:t>
      </w:r>
      <w:r w:rsidR="00C954AB" w:rsidRPr="00395CE8">
        <w:rPr>
          <w:rFonts w:ascii="Calibri" w:hAnsi="Calibri" w:cs="Calibri"/>
          <w:sz w:val="22"/>
          <w:szCs w:val="22"/>
        </w:rPr>
        <w:t xml:space="preserve">dove efficienta </w:t>
      </w:r>
      <w:r w:rsidR="00421B85" w:rsidRPr="00395CE8">
        <w:rPr>
          <w:rFonts w:ascii="Calibri" w:hAnsi="Calibri" w:cs="Calibri"/>
          <w:sz w:val="22"/>
          <w:szCs w:val="22"/>
        </w:rPr>
        <w:t>sia</w:t>
      </w:r>
      <w:r w:rsidR="00C954AB" w:rsidRPr="00395CE8">
        <w:rPr>
          <w:rFonts w:ascii="Calibri" w:hAnsi="Calibri" w:cs="Calibri"/>
          <w:sz w:val="22"/>
          <w:szCs w:val="22"/>
        </w:rPr>
        <w:t xml:space="preserve"> </w:t>
      </w:r>
      <w:r w:rsidR="00421B85" w:rsidRPr="00395CE8">
        <w:rPr>
          <w:rFonts w:ascii="Calibri" w:hAnsi="Calibri" w:cs="Calibri"/>
          <w:sz w:val="22"/>
          <w:szCs w:val="22"/>
        </w:rPr>
        <w:t>raccolta e uso</w:t>
      </w:r>
      <w:r w:rsidR="00C954AB" w:rsidRPr="00395CE8">
        <w:rPr>
          <w:rFonts w:ascii="Calibri" w:hAnsi="Calibri" w:cs="Calibri"/>
          <w:sz w:val="22"/>
          <w:szCs w:val="22"/>
        </w:rPr>
        <w:t xml:space="preserve"> delle informazioni</w:t>
      </w:r>
      <w:r w:rsidR="00421B85" w:rsidRPr="00395CE8">
        <w:rPr>
          <w:rFonts w:ascii="Calibri" w:hAnsi="Calibri" w:cs="Calibri"/>
          <w:sz w:val="22"/>
          <w:szCs w:val="22"/>
        </w:rPr>
        <w:t xml:space="preserve"> che </w:t>
      </w:r>
      <w:r w:rsidR="00C954AB" w:rsidRPr="00395CE8">
        <w:rPr>
          <w:rFonts w:ascii="Calibri" w:hAnsi="Calibri" w:cs="Calibri"/>
          <w:sz w:val="22"/>
          <w:szCs w:val="22"/>
        </w:rPr>
        <w:t>il monitoraggio delle performance</w:t>
      </w:r>
      <w:r w:rsidR="00421B85" w:rsidRPr="00395CE8">
        <w:rPr>
          <w:rFonts w:ascii="Calibri" w:hAnsi="Calibri" w:cs="Calibri"/>
          <w:sz w:val="22"/>
          <w:szCs w:val="22"/>
        </w:rPr>
        <w:t>)</w:t>
      </w:r>
      <w:r w:rsidR="003A3575">
        <w:rPr>
          <w:rFonts w:ascii="Calibri" w:hAnsi="Calibri" w:cs="Calibri"/>
          <w:sz w:val="22"/>
          <w:szCs w:val="22"/>
        </w:rPr>
        <w:t>. T</w:t>
      </w:r>
      <w:r w:rsidRPr="00395CE8">
        <w:rPr>
          <w:rFonts w:ascii="Calibri" w:hAnsi="Calibri" w:cs="Calibri"/>
          <w:sz w:val="22"/>
          <w:szCs w:val="22"/>
        </w:rPr>
        <w:t>uttavia</w:t>
      </w:r>
      <w:r w:rsidR="003A3575">
        <w:rPr>
          <w:rFonts w:ascii="Calibri" w:hAnsi="Calibri" w:cs="Calibri"/>
          <w:sz w:val="22"/>
          <w:szCs w:val="22"/>
        </w:rPr>
        <w:t>,</w:t>
      </w:r>
      <w:r w:rsidRPr="00395CE8">
        <w:rPr>
          <w:rFonts w:ascii="Calibri" w:hAnsi="Calibri" w:cs="Calibri"/>
          <w:sz w:val="22"/>
          <w:szCs w:val="22"/>
        </w:rPr>
        <w:t xml:space="preserve"> nel 2022 la rendicontazione degli impatti </w:t>
      </w:r>
      <w:r w:rsidR="00A824CB" w:rsidRPr="00395CE8">
        <w:rPr>
          <w:rFonts w:ascii="Calibri" w:hAnsi="Calibri" w:cs="Calibri"/>
          <w:sz w:val="22"/>
          <w:szCs w:val="22"/>
        </w:rPr>
        <w:t>in termini di carbon footprint</w:t>
      </w:r>
      <w:r w:rsidRPr="00395CE8">
        <w:rPr>
          <w:rFonts w:ascii="Calibri" w:hAnsi="Calibri" w:cs="Calibri"/>
          <w:sz w:val="22"/>
          <w:szCs w:val="22"/>
        </w:rPr>
        <w:t xml:space="preserve"> </w:t>
      </w:r>
      <w:r w:rsidR="00421B85" w:rsidRPr="00395CE8">
        <w:rPr>
          <w:rFonts w:ascii="Calibri" w:hAnsi="Calibri" w:cs="Calibri"/>
          <w:sz w:val="22"/>
          <w:szCs w:val="22"/>
        </w:rPr>
        <w:t xml:space="preserve">risulta </w:t>
      </w:r>
      <w:r w:rsidRPr="00395CE8">
        <w:rPr>
          <w:rFonts w:ascii="Calibri" w:hAnsi="Calibri" w:cs="Calibri"/>
          <w:sz w:val="22"/>
          <w:szCs w:val="22"/>
        </w:rPr>
        <w:t xml:space="preserve">molto limitata, anche a causa della difficoltà </w:t>
      </w:r>
      <w:r w:rsidR="007201A2" w:rsidRPr="00395CE8">
        <w:rPr>
          <w:rFonts w:ascii="Calibri" w:hAnsi="Calibri" w:cs="Calibri"/>
          <w:sz w:val="22"/>
          <w:szCs w:val="22"/>
        </w:rPr>
        <w:t>a</w:t>
      </w:r>
      <w:r w:rsidRPr="00395CE8">
        <w:rPr>
          <w:rFonts w:ascii="Calibri" w:hAnsi="Calibri" w:cs="Calibri"/>
          <w:sz w:val="22"/>
          <w:szCs w:val="22"/>
        </w:rPr>
        <w:t xml:space="preserve"> quantificare adeguatamente i benefici</w:t>
      </w:r>
      <w:r w:rsidR="00C954AB" w:rsidRPr="00395CE8">
        <w:rPr>
          <w:rFonts w:ascii="Calibri" w:hAnsi="Calibri" w:cs="Calibri"/>
          <w:sz w:val="22"/>
          <w:szCs w:val="22"/>
        </w:rPr>
        <w:t xml:space="preserve">: </w:t>
      </w:r>
      <w:r w:rsidRPr="00395CE8">
        <w:rPr>
          <w:rFonts w:ascii="Calibri" w:hAnsi="Calibri" w:cs="Calibri"/>
          <w:sz w:val="22"/>
          <w:szCs w:val="22"/>
        </w:rPr>
        <w:t>su un totale di 731 iniziative mappate</w:t>
      </w:r>
      <w:r w:rsidR="00C954AB" w:rsidRPr="00395CE8">
        <w:rPr>
          <w:rFonts w:ascii="Calibri" w:hAnsi="Calibri" w:cs="Calibri"/>
          <w:sz w:val="22"/>
          <w:szCs w:val="22"/>
        </w:rPr>
        <w:t>, infatti,</w:t>
      </w:r>
      <w:r w:rsidR="00A824CB" w:rsidRPr="00395CE8">
        <w:rPr>
          <w:rFonts w:ascii="Calibri" w:hAnsi="Calibri" w:cs="Calibri"/>
          <w:sz w:val="22"/>
          <w:szCs w:val="22"/>
        </w:rPr>
        <w:t xml:space="preserve"> </w:t>
      </w:r>
      <w:r w:rsidRPr="00395CE8">
        <w:rPr>
          <w:rFonts w:ascii="Calibri" w:hAnsi="Calibri" w:cs="Calibri"/>
          <w:sz w:val="22"/>
          <w:szCs w:val="22"/>
        </w:rPr>
        <w:t xml:space="preserve">si registra un tasso di quantificazione dei </w:t>
      </w:r>
      <w:r w:rsidR="00C954AB" w:rsidRPr="00395CE8">
        <w:rPr>
          <w:rFonts w:ascii="Calibri" w:hAnsi="Calibri" w:cs="Calibri"/>
          <w:sz w:val="22"/>
          <w:szCs w:val="22"/>
        </w:rPr>
        <w:t xml:space="preserve">risultati </w:t>
      </w:r>
      <w:r w:rsidRPr="00395CE8">
        <w:rPr>
          <w:rFonts w:ascii="Calibri" w:hAnsi="Calibri" w:cs="Calibri"/>
          <w:sz w:val="22"/>
          <w:szCs w:val="22"/>
        </w:rPr>
        <w:t xml:space="preserve">conseguiti pari </w:t>
      </w:r>
      <w:r w:rsidR="00A824CB" w:rsidRPr="00395CE8">
        <w:rPr>
          <w:rFonts w:ascii="Calibri" w:hAnsi="Calibri" w:cs="Calibri"/>
          <w:sz w:val="22"/>
          <w:szCs w:val="22"/>
        </w:rPr>
        <w:t xml:space="preserve">solo </w:t>
      </w:r>
      <w:r w:rsidRPr="00395CE8">
        <w:rPr>
          <w:rFonts w:ascii="Calibri" w:hAnsi="Calibri" w:cs="Calibri"/>
          <w:sz w:val="22"/>
          <w:szCs w:val="22"/>
        </w:rPr>
        <w:t xml:space="preserve">al 4,2%. </w:t>
      </w:r>
    </w:p>
    <w:p w14:paraId="14AF2366" w14:textId="5408DFA9" w:rsidR="00ED41A0" w:rsidRDefault="00C954AB" w:rsidP="00ED41A0">
      <w:pPr>
        <w:spacing w:after="80"/>
        <w:jc w:val="both"/>
        <w:rPr>
          <w:rFonts w:ascii="Calibri" w:hAnsi="Calibri" w:cs="Calibri"/>
          <w:sz w:val="22"/>
          <w:szCs w:val="22"/>
        </w:rPr>
      </w:pPr>
      <w:r w:rsidRPr="00395CE8">
        <w:rPr>
          <w:rFonts w:ascii="Calibri" w:hAnsi="Calibri" w:cs="Calibri"/>
          <w:sz w:val="22"/>
          <w:szCs w:val="22"/>
        </w:rPr>
        <w:t xml:space="preserve">In concreto, però, </w:t>
      </w:r>
      <w:r w:rsidR="007201A2" w:rsidRPr="00395CE8">
        <w:rPr>
          <w:rFonts w:ascii="Calibri" w:hAnsi="Calibri" w:cs="Calibri"/>
          <w:sz w:val="22"/>
          <w:szCs w:val="22"/>
        </w:rPr>
        <w:t xml:space="preserve">l’intensità emissiva complessiva </w:t>
      </w:r>
      <w:r w:rsidRPr="00395CE8">
        <w:rPr>
          <w:rFonts w:ascii="Calibri" w:hAnsi="Calibri" w:cs="Calibri"/>
          <w:sz w:val="22"/>
          <w:szCs w:val="22"/>
        </w:rPr>
        <w:t>è stata ridotta del</w:t>
      </w:r>
      <w:r w:rsidR="007201A2" w:rsidRPr="00395CE8">
        <w:rPr>
          <w:rFonts w:ascii="Calibri" w:hAnsi="Calibri" w:cs="Calibri"/>
          <w:sz w:val="22"/>
          <w:szCs w:val="22"/>
        </w:rPr>
        <w:t xml:space="preserve"> 13,8% rispetto al 2021, </w:t>
      </w:r>
      <w:r w:rsidRPr="00395CE8">
        <w:rPr>
          <w:rFonts w:ascii="Calibri" w:hAnsi="Calibri" w:cs="Calibri"/>
          <w:sz w:val="22"/>
          <w:szCs w:val="22"/>
        </w:rPr>
        <w:t xml:space="preserve">dato </w:t>
      </w:r>
      <w:r w:rsidR="007201A2" w:rsidRPr="00395CE8">
        <w:rPr>
          <w:rFonts w:ascii="Calibri" w:hAnsi="Calibri" w:cs="Calibri"/>
          <w:sz w:val="22"/>
          <w:szCs w:val="22"/>
        </w:rPr>
        <w:t>ancor più rilevant</w:t>
      </w:r>
      <w:r w:rsidRPr="00395CE8">
        <w:rPr>
          <w:rFonts w:ascii="Calibri" w:hAnsi="Calibri" w:cs="Calibri"/>
          <w:sz w:val="22"/>
          <w:szCs w:val="22"/>
        </w:rPr>
        <w:t>e</w:t>
      </w:r>
      <w:r w:rsidR="007201A2" w:rsidRPr="00395CE8">
        <w:rPr>
          <w:rFonts w:ascii="Calibri" w:hAnsi="Calibri" w:cs="Calibri"/>
          <w:sz w:val="22"/>
          <w:szCs w:val="22"/>
        </w:rPr>
        <w:t xml:space="preserve"> se si considera che </w:t>
      </w:r>
      <w:r w:rsidRPr="00395CE8">
        <w:rPr>
          <w:rFonts w:ascii="Calibri" w:hAnsi="Calibri" w:cs="Calibri"/>
          <w:sz w:val="22"/>
          <w:szCs w:val="22"/>
        </w:rPr>
        <w:t xml:space="preserve">è stato </w:t>
      </w:r>
      <w:r w:rsidR="007201A2" w:rsidRPr="00395CE8">
        <w:rPr>
          <w:rFonts w:ascii="Calibri" w:hAnsi="Calibri" w:cs="Calibri"/>
          <w:sz w:val="22"/>
          <w:szCs w:val="22"/>
        </w:rPr>
        <w:t>ottenut</w:t>
      </w:r>
      <w:r w:rsidR="003A3575">
        <w:rPr>
          <w:rFonts w:ascii="Calibri" w:hAnsi="Calibri" w:cs="Calibri"/>
          <w:sz w:val="22"/>
          <w:szCs w:val="22"/>
        </w:rPr>
        <w:t>o</w:t>
      </w:r>
      <w:r w:rsidR="007201A2" w:rsidRPr="00395CE8">
        <w:rPr>
          <w:rFonts w:ascii="Calibri" w:hAnsi="Calibri" w:cs="Calibri"/>
          <w:sz w:val="22"/>
          <w:szCs w:val="22"/>
        </w:rPr>
        <w:t xml:space="preserve"> con un aumento del fatturato </w:t>
      </w:r>
      <w:r w:rsidRPr="00395CE8">
        <w:rPr>
          <w:rFonts w:ascii="Calibri" w:hAnsi="Calibri" w:cs="Calibri"/>
          <w:sz w:val="22"/>
          <w:szCs w:val="22"/>
        </w:rPr>
        <w:t>del</w:t>
      </w:r>
      <w:r w:rsidR="007201A2" w:rsidRPr="00395CE8">
        <w:rPr>
          <w:rFonts w:ascii="Calibri" w:hAnsi="Calibri" w:cs="Calibri"/>
          <w:sz w:val="22"/>
          <w:szCs w:val="22"/>
        </w:rPr>
        <w:t xml:space="preserve"> 27,3%.</w:t>
      </w:r>
      <w:r w:rsidR="00395CE8">
        <w:rPr>
          <w:rFonts w:ascii="Calibri" w:hAnsi="Calibri" w:cs="Calibri"/>
          <w:sz w:val="22"/>
          <w:szCs w:val="22"/>
        </w:rPr>
        <w:t xml:space="preserve"> </w:t>
      </w:r>
      <w:r w:rsidRPr="00395CE8">
        <w:rPr>
          <w:rFonts w:ascii="Calibri" w:hAnsi="Calibri" w:cs="Calibri"/>
          <w:sz w:val="22"/>
          <w:szCs w:val="22"/>
        </w:rPr>
        <w:t xml:space="preserve">Le </w:t>
      </w:r>
      <w:r w:rsidR="00F65D5A" w:rsidRPr="00395CE8">
        <w:rPr>
          <w:rFonts w:ascii="Calibri" w:hAnsi="Calibri" w:cs="Calibri"/>
          <w:sz w:val="22"/>
          <w:szCs w:val="22"/>
        </w:rPr>
        <w:t>rendicontazion</w:t>
      </w:r>
      <w:r w:rsidRPr="00395CE8">
        <w:rPr>
          <w:rFonts w:ascii="Calibri" w:hAnsi="Calibri" w:cs="Calibri"/>
          <w:sz w:val="22"/>
          <w:szCs w:val="22"/>
        </w:rPr>
        <w:t>i, inoltre, risultano frammentate, poiché quelle</w:t>
      </w:r>
      <w:r w:rsidR="000523F9" w:rsidRPr="00395CE8">
        <w:rPr>
          <w:rFonts w:ascii="Calibri" w:hAnsi="Calibri" w:cs="Calibri"/>
          <w:sz w:val="22"/>
          <w:szCs w:val="22"/>
        </w:rPr>
        <w:t xml:space="preserve"> analizzate </w:t>
      </w:r>
      <w:r w:rsidR="00F65D5A" w:rsidRPr="00395CE8">
        <w:rPr>
          <w:rFonts w:ascii="Calibri" w:hAnsi="Calibri" w:cs="Calibri"/>
          <w:sz w:val="22"/>
          <w:szCs w:val="22"/>
        </w:rPr>
        <w:t xml:space="preserve">fanno riferimento allo standard GRI ma </w:t>
      </w:r>
      <w:r w:rsidR="000523F9" w:rsidRPr="00395CE8">
        <w:rPr>
          <w:rFonts w:ascii="Calibri" w:hAnsi="Calibri" w:cs="Calibri"/>
          <w:sz w:val="22"/>
          <w:szCs w:val="22"/>
        </w:rPr>
        <w:t>con</w:t>
      </w:r>
      <w:r w:rsidR="00F65D5A" w:rsidRPr="00395CE8">
        <w:rPr>
          <w:rFonts w:ascii="Calibri" w:hAnsi="Calibri" w:cs="Calibri"/>
          <w:sz w:val="22"/>
          <w:szCs w:val="22"/>
        </w:rPr>
        <w:t xml:space="preserve"> importanti divergenze </w:t>
      </w:r>
      <w:r w:rsidRPr="00395CE8">
        <w:rPr>
          <w:rFonts w:ascii="Calibri" w:hAnsi="Calibri" w:cs="Calibri"/>
          <w:sz w:val="22"/>
          <w:szCs w:val="22"/>
        </w:rPr>
        <w:t>legate a</w:t>
      </w:r>
      <w:r w:rsidR="00F65D5A" w:rsidRPr="00395CE8">
        <w:rPr>
          <w:rFonts w:ascii="Calibri" w:hAnsi="Calibri" w:cs="Calibri"/>
          <w:sz w:val="22"/>
          <w:szCs w:val="22"/>
        </w:rPr>
        <w:t>lla denominazione e alla struttura della documentazione prodotta</w:t>
      </w:r>
      <w:r w:rsidR="000523F9" w:rsidRPr="00395CE8">
        <w:rPr>
          <w:rFonts w:ascii="Calibri" w:hAnsi="Calibri" w:cs="Calibri"/>
          <w:sz w:val="22"/>
          <w:szCs w:val="22"/>
        </w:rPr>
        <w:t xml:space="preserve"> (l’</w:t>
      </w:r>
      <w:r w:rsidR="00ED41A0" w:rsidRPr="00395CE8">
        <w:rPr>
          <w:rFonts w:ascii="Calibri" w:hAnsi="Calibri" w:cs="Calibri"/>
          <w:sz w:val="22"/>
          <w:szCs w:val="22"/>
        </w:rPr>
        <w:t>entrata in vigore</w:t>
      </w:r>
      <w:r w:rsidR="000523F9" w:rsidRPr="00395CE8">
        <w:rPr>
          <w:rFonts w:ascii="Calibri" w:hAnsi="Calibri" w:cs="Calibri"/>
          <w:sz w:val="22"/>
          <w:szCs w:val="22"/>
        </w:rPr>
        <w:t xml:space="preserve"> della </w:t>
      </w:r>
      <w:r w:rsidR="000523F9" w:rsidRPr="00395CE8">
        <w:rPr>
          <w:rFonts w:asciiTheme="majorHAnsi" w:hAnsiTheme="majorHAnsi" w:cstheme="majorHAnsi"/>
          <w:sz w:val="22"/>
          <w:szCs w:val="22"/>
        </w:rPr>
        <w:t xml:space="preserve">Corporate </w:t>
      </w:r>
      <w:proofErr w:type="spellStart"/>
      <w:r w:rsidR="000523F9" w:rsidRPr="00395CE8">
        <w:rPr>
          <w:rFonts w:asciiTheme="majorHAnsi" w:hAnsiTheme="majorHAnsi" w:cstheme="majorHAnsi"/>
          <w:sz w:val="22"/>
          <w:szCs w:val="22"/>
        </w:rPr>
        <w:t>Sustainability</w:t>
      </w:r>
      <w:proofErr w:type="spellEnd"/>
      <w:r w:rsidR="000523F9" w:rsidRPr="00395CE8">
        <w:rPr>
          <w:rFonts w:asciiTheme="majorHAnsi" w:hAnsiTheme="majorHAnsi" w:cstheme="majorHAnsi"/>
          <w:sz w:val="22"/>
          <w:szCs w:val="22"/>
        </w:rPr>
        <w:t xml:space="preserve"> Reporting Directive</w:t>
      </w:r>
      <w:r w:rsidR="00ED41A0" w:rsidRPr="00395CE8">
        <w:rPr>
          <w:rFonts w:asciiTheme="majorHAnsi" w:hAnsiTheme="majorHAnsi" w:cstheme="majorHAnsi"/>
          <w:sz w:val="22"/>
          <w:szCs w:val="22"/>
        </w:rPr>
        <w:t>,</w:t>
      </w:r>
      <w:r w:rsidR="00ED41A0" w:rsidRPr="00395CE8">
        <w:rPr>
          <w:rFonts w:ascii="Calibri" w:hAnsi="Calibri" w:cs="Calibri"/>
          <w:sz w:val="22"/>
          <w:szCs w:val="22"/>
        </w:rPr>
        <w:t xml:space="preserve"> che porta il totale d</w:t>
      </w:r>
      <w:r w:rsidRPr="00395CE8">
        <w:rPr>
          <w:rFonts w:ascii="Calibri" w:hAnsi="Calibri" w:cs="Calibri"/>
          <w:sz w:val="22"/>
          <w:szCs w:val="22"/>
        </w:rPr>
        <w:t>elle</w:t>
      </w:r>
      <w:r w:rsidR="00ED41A0" w:rsidRPr="00395CE8">
        <w:rPr>
          <w:rFonts w:ascii="Calibri" w:hAnsi="Calibri" w:cs="Calibri"/>
          <w:sz w:val="22"/>
          <w:szCs w:val="22"/>
        </w:rPr>
        <w:t xml:space="preserve"> imprese chiamate a rendicontare le performance non finanziarie in UE a circa 50.000 rispetto alle attuali 11.600,</w:t>
      </w:r>
      <w:r w:rsidR="000523F9" w:rsidRPr="00395CE8">
        <w:rPr>
          <w:rFonts w:ascii="Arial" w:hAnsi="Arial" w:cs="Arial"/>
          <w:sz w:val="20"/>
          <w:szCs w:val="20"/>
        </w:rPr>
        <w:t xml:space="preserve"> </w:t>
      </w:r>
      <w:r w:rsidR="000523F9" w:rsidRPr="00395CE8">
        <w:rPr>
          <w:rFonts w:ascii="Calibri" w:hAnsi="Calibri" w:cs="Calibri"/>
          <w:sz w:val="22"/>
          <w:szCs w:val="22"/>
        </w:rPr>
        <w:t xml:space="preserve">potrà rappresentare un punto di svolta </w:t>
      </w:r>
      <w:r w:rsidRPr="00395CE8">
        <w:rPr>
          <w:rFonts w:ascii="Calibri" w:hAnsi="Calibri" w:cs="Calibri"/>
          <w:sz w:val="22"/>
          <w:szCs w:val="22"/>
        </w:rPr>
        <w:t xml:space="preserve">con </w:t>
      </w:r>
      <w:r w:rsidR="000523F9" w:rsidRPr="00395CE8">
        <w:rPr>
          <w:rFonts w:ascii="Calibri" w:hAnsi="Calibri" w:cs="Calibri"/>
          <w:sz w:val="22"/>
          <w:szCs w:val="22"/>
        </w:rPr>
        <w:t>l’introduzione dei formati unici digitali</w:t>
      </w:r>
      <w:r w:rsidR="00ED41A0" w:rsidRPr="00395CE8">
        <w:rPr>
          <w:rFonts w:ascii="Calibri" w:hAnsi="Calibri" w:cs="Calibri"/>
          <w:sz w:val="22"/>
          <w:szCs w:val="22"/>
        </w:rPr>
        <w:t xml:space="preserve">): la maggior parte realizza un </w:t>
      </w:r>
      <w:r w:rsidR="00ED41A0" w:rsidRPr="00395CE8">
        <w:rPr>
          <w:rFonts w:ascii="Calibri" w:hAnsi="Calibri" w:cs="Calibri"/>
          <w:sz w:val="22"/>
          <w:szCs w:val="22"/>
        </w:rPr>
        <w:lastRenderedPageBreak/>
        <w:t xml:space="preserve">documento dedicato alle performance di sostenibilità, mentre il 25% </w:t>
      </w:r>
      <w:r w:rsidR="003A3575">
        <w:rPr>
          <w:rFonts w:ascii="Calibri" w:hAnsi="Calibri" w:cs="Calibri"/>
          <w:sz w:val="22"/>
          <w:szCs w:val="22"/>
        </w:rPr>
        <w:t xml:space="preserve">le </w:t>
      </w:r>
      <w:r w:rsidR="00ED41A0" w:rsidRPr="00395CE8">
        <w:rPr>
          <w:rFonts w:ascii="Calibri" w:hAnsi="Calibri" w:cs="Calibri"/>
          <w:sz w:val="22"/>
          <w:szCs w:val="22"/>
        </w:rPr>
        <w:t xml:space="preserve">include </w:t>
      </w:r>
      <w:r w:rsidR="003A3575">
        <w:rPr>
          <w:rFonts w:ascii="Calibri" w:hAnsi="Calibri" w:cs="Calibri"/>
          <w:sz w:val="22"/>
          <w:szCs w:val="22"/>
        </w:rPr>
        <w:t xml:space="preserve">in </w:t>
      </w:r>
      <w:r w:rsidR="00ED41A0" w:rsidRPr="00395CE8">
        <w:rPr>
          <w:rFonts w:ascii="Calibri" w:hAnsi="Calibri" w:cs="Calibri"/>
          <w:sz w:val="22"/>
          <w:szCs w:val="22"/>
        </w:rPr>
        <w:t xml:space="preserve">documenti nati con altre finalità, spesso di natura finanziaria. </w:t>
      </w:r>
    </w:p>
    <w:p w14:paraId="2D702ED6" w14:textId="340BC586" w:rsidR="0079489A" w:rsidRDefault="0079489A" w:rsidP="00ED41A0">
      <w:pPr>
        <w:spacing w:after="80"/>
        <w:jc w:val="both"/>
        <w:rPr>
          <w:rFonts w:ascii="Calibri" w:hAnsi="Calibri" w:cs="Calibri"/>
          <w:sz w:val="22"/>
          <w:szCs w:val="22"/>
        </w:rPr>
      </w:pPr>
      <w:r w:rsidRPr="00807FE7">
        <w:rPr>
          <w:rFonts w:ascii="Calibri" w:hAnsi="Calibri" w:cs="Calibri"/>
          <w:sz w:val="22"/>
          <w:szCs w:val="22"/>
        </w:rPr>
        <w:t xml:space="preserve">Nel 2022 le aziende con almeno una iniziativa di digitalizzazione riportata nel bilancio di sostenibilità superano il 75% in tutti gli ambiti analizzati tranne la logistica (45%), in particolare nelle risorse umane e nelle </w:t>
      </w:r>
      <w:proofErr w:type="spellStart"/>
      <w:r w:rsidRPr="00807FE7">
        <w:rPr>
          <w:rFonts w:ascii="Calibri" w:hAnsi="Calibri" w:cs="Calibri"/>
          <w:sz w:val="22"/>
          <w:szCs w:val="22"/>
        </w:rPr>
        <w:t>operations</w:t>
      </w:r>
      <w:proofErr w:type="spellEnd"/>
      <w:r w:rsidRPr="00807FE7">
        <w:rPr>
          <w:rFonts w:ascii="Calibri" w:hAnsi="Calibri" w:cs="Calibri"/>
          <w:sz w:val="22"/>
          <w:szCs w:val="22"/>
        </w:rPr>
        <w:t>: nel primo caso, il digitale viene adottato nella formazione del personale (57%), nell</w:t>
      </w:r>
      <w:r w:rsidRPr="0061501A">
        <w:rPr>
          <w:rFonts w:ascii="Calibri" w:hAnsi="Calibri" w:cs="Calibri"/>
          <w:sz w:val="22"/>
          <w:szCs w:val="22"/>
        </w:rPr>
        <w:t>o</w:t>
      </w:r>
      <w:r>
        <w:rPr>
          <w:rFonts w:ascii="Calibri" w:hAnsi="Calibri" w:cs="Calibri"/>
          <w:i/>
          <w:iCs/>
          <w:sz w:val="22"/>
          <w:szCs w:val="22"/>
        </w:rPr>
        <w:t xml:space="preserve"> </w:t>
      </w:r>
      <w:r w:rsidRPr="00807FE7">
        <w:rPr>
          <w:rFonts w:ascii="Calibri" w:hAnsi="Calibri" w:cs="Calibri"/>
          <w:sz w:val="22"/>
          <w:szCs w:val="22"/>
        </w:rPr>
        <w:t xml:space="preserve">smart working </w:t>
      </w:r>
      <w:r w:rsidRPr="0079489A">
        <w:rPr>
          <w:rFonts w:ascii="Calibri" w:hAnsi="Calibri" w:cs="Calibri"/>
          <w:sz w:val="22"/>
          <w:szCs w:val="22"/>
        </w:rPr>
        <w:t xml:space="preserve">e </w:t>
      </w:r>
      <w:r w:rsidRPr="00395CE8">
        <w:rPr>
          <w:rFonts w:ascii="Calibri" w:hAnsi="Calibri" w:cs="Calibri"/>
          <w:sz w:val="22"/>
          <w:szCs w:val="22"/>
        </w:rPr>
        <w:t>in</w:t>
      </w:r>
      <w:r w:rsidRPr="0079489A">
        <w:rPr>
          <w:rFonts w:ascii="Calibri" w:hAnsi="Calibri" w:cs="Calibri"/>
          <w:sz w:val="22"/>
          <w:szCs w:val="22"/>
        </w:rPr>
        <w:t xml:space="preserve"> altri</w:t>
      </w:r>
      <w:r w:rsidRPr="00807FE7">
        <w:rPr>
          <w:rFonts w:ascii="Calibri" w:hAnsi="Calibri" w:cs="Calibri"/>
          <w:sz w:val="22"/>
          <w:szCs w:val="22"/>
        </w:rPr>
        <w:t xml:space="preserve"> strumenti di lavoro ibrido (14%) e nell’automazione di attività ripetitive (13%); nel secondo, viene visto come una leva competitiva per aumentare l’efficienza, dunque per ottimizzare i processi produttivi (44%) ma anche per intervenire sugli asset aziendali e sulle reti distributive (35%) e per la manutenzione predittiva (7%).</w:t>
      </w:r>
    </w:p>
    <w:p w14:paraId="7185C92B" w14:textId="33E94C98" w:rsidR="00BB06F1" w:rsidRPr="00E0429E" w:rsidRDefault="0079489A" w:rsidP="00BB06F1">
      <w:pPr>
        <w:pStyle w:val="Didascalia"/>
        <w:spacing w:after="80"/>
        <w:rPr>
          <w:rFonts w:ascii="Calibri" w:hAnsi="Calibri" w:cs="Calibri"/>
          <w:b/>
          <w:bCs/>
          <w:sz w:val="22"/>
          <w:szCs w:val="22"/>
        </w:rPr>
      </w:pPr>
      <w:r w:rsidRPr="00E0429E">
        <w:rPr>
          <w:rFonts w:ascii="Calibri" w:hAnsi="Calibri" w:cs="Calibri"/>
          <w:noProof/>
          <w:sz w:val="22"/>
          <w:szCs w:val="22"/>
        </w:rPr>
        <w:drawing>
          <wp:anchor distT="0" distB="0" distL="114300" distR="114300" simplePos="0" relativeHeight="251698176" behindDoc="0" locked="0" layoutInCell="1" allowOverlap="1" wp14:anchorId="3E11607A" wp14:editId="6B555B09">
            <wp:simplePos x="0" y="0"/>
            <wp:positionH relativeFrom="margin">
              <wp:posOffset>-22225</wp:posOffset>
            </wp:positionH>
            <wp:positionV relativeFrom="paragraph">
              <wp:posOffset>24765</wp:posOffset>
            </wp:positionV>
            <wp:extent cx="4319905" cy="2637155"/>
            <wp:effectExtent l="0" t="0" r="4445" b="0"/>
            <wp:wrapSquare wrapText="bothSides"/>
            <wp:docPr id="837268663" name="Picture 978997714"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97714" name="Immagine 7" descr="Immagine che contiene testo, schermata, numero, Carattere&#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4319905" cy="2637155"/>
                    </a:xfrm>
                    <a:prstGeom prst="rect">
                      <a:avLst/>
                    </a:prstGeom>
                  </pic:spPr>
                </pic:pic>
              </a:graphicData>
            </a:graphic>
            <wp14:sizeRelH relativeFrom="margin">
              <wp14:pctWidth>0</wp14:pctWidth>
            </wp14:sizeRelH>
            <wp14:sizeRelV relativeFrom="margin">
              <wp14:pctHeight>0</wp14:pctHeight>
            </wp14:sizeRelV>
          </wp:anchor>
        </w:drawing>
      </w:r>
    </w:p>
    <w:p w14:paraId="34836FA2" w14:textId="519DF5BE" w:rsidR="00BB06F1" w:rsidRPr="00E0429E" w:rsidRDefault="00BB06F1" w:rsidP="00BB06F1">
      <w:pPr>
        <w:pStyle w:val="Didascalia"/>
        <w:spacing w:after="80"/>
        <w:rPr>
          <w:rFonts w:ascii="Calibri" w:hAnsi="Calibri" w:cs="Calibri"/>
          <w:b/>
          <w:bCs/>
          <w:sz w:val="22"/>
          <w:szCs w:val="22"/>
        </w:rPr>
      </w:pPr>
    </w:p>
    <w:p w14:paraId="315E5AD1" w14:textId="44E159BE" w:rsidR="00BB06F1" w:rsidRPr="00E0429E" w:rsidRDefault="00BB06F1" w:rsidP="00BB06F1">
      <w:pPr>
        <w:pStyle w:val="Didascalia"/>
        <w:spacing w:after="80"/>
        <w:rPr>
          <w:rFonts w:ascii="Calibri" w:hAnsi="Calibri" w:cs="Calibri"/>
          <w:b/>
          <w:bCs/>
          <w:sz w:val="22"/>
          <w:szCs w:val="22"/>
        </w:rPr>
      </w:pPr>
    </w:p>
    <w:p w14:paraId="0BCEC9EA" w14:textId="77777777" w:rsidR="00BB06F1" w:rsidRPr="00E0429E" w:rsidRDefault="00BB06F1" w:rsidP="00BB06F1">
      <w:pPr>
        <w:pStyle w:val="Didascalia"/>
        <w:spacing w:after="80"/>
        <w:rPr>
          <w:rFonts w:ascii="Calibri" w:hAnsi="Calibri" w:cs="Calibri"/>
          <w:b/>
          <w:bCs/>
          <w:sz w:val="22"/>
          <w:szCs w:val="22"/>
        </w:rPr>
      </w:pPr>
    </w:p>
    <w:p w14:paraId="1724BC26" w14:textId="77777777" w:rsidR="00BB06F1" w:rsidRPr="00E0429E" w:rsidRDefault="00BB06F1" w:rsidP="00BB06F1">
      <w:pPr>
        <w:pStyle w:val="Didascalia"/>
        <w:spacing w:after="80"/>
        <w:rPr>
          <w:rFonts w:ascii="Calibri" w:hAnsi="Calibri" w:cs="Calibri"/>
          <w:b/>
          <w:bCs/>
          <w:sz w:val="22"/>
          <w:szCs w:val="22"/>
        </w:rPr>
      </w:pPr>
    </w:p>
    <w:p w14:paraId="7752C2BC" w14:textId="77777777" w:rsidR="00BB06F1" w:rsidRPr="00E0429E" w:rsidRDefault="00BB06F1" w:rsidP="00BB06F1">
      <w:pPr>
        <w:pStyle w:val="Didascalia"/>
        <w:spacing w:after="80"/>
        <w:rPr>
          <w:rFonts w:ascii="Calibri" w:hAnsi="Calibri" w:cs="Calibri"/>
          <w:b/>
          <w:bCs/>
          <w:sz w:val="22"/>
          <w:szCs w:val="22"/>
        </w:rPr>
      </w:pPr>
    </w:p>
    <w:p w14:paraId="3D05AAB2" w14:textId="77777777" w:rsidR="00BB06F1" w:rsidRPr="00E0429E" w:rsidRDefault="00BB06F1" w:rsidP="00BB06F1">
      <w:pPr>
        <w:pStyle w:val="Didascalia"/>
        <w:spacing w:after="80"/>
        <w:rPr>
          <w:rFonts w:ascii="Calibri" w:hAnsi="Calibri" w:cs="Calibri"/>
          <w:b/>
          <w:bCs/>
          <w:sz w:val="22"/>
          <w:szCs w:val="22"/>
        </w:rPr>
      </w:pPr>
    </w:p>
    <w:p w14:paraId="1D724702" w14:textId="77777777" w:rsidR="00BB06F1" w:rsidRPr="00E0429E" w:rsidRDefault="00BB06F1" w:rsidP="00BB06F1">
      <w:pPr>
        <w:pStyle w:val="Didascalia"/>
        <w:spacing w:after="80"/>
        <w:rPr>
          <w:rFonts w:ascii="Calibri" w:hAnsi="Calibri" w:cs="Calibri"/>
          <w:b/>
          <w:bCs/>
          <w:sz w:val="22"/>
          <w:szCs w:val="22"/>
        </w:rPr>
      </w:pPr>
    </w:p>
    <w:p w14:paraId="441AD11F" w14:textId="77777777" w:rsidR="00BB06F1" w:rsidRPr="00E0429E" w:rsidRDefault="00BB06F1" w:rsidP="00BB06F1">
      <w:pPr>
        <w:pStyle w:val="Didascalia"/>
        <w:spacing w:after="80"/>
        <w:rPr>
          <w:rFonts w:ascii="Calibri" w:hAnsi="Calibri" w:cs="Calibri"/>
          <w:b/>
          <w:bCs/>
          <w:sz w:val="22"/>
          <w:szCs w:val="22"/>
        </w:rPr>
      </w:pPr>
    </w:p>
    <w:p w14:paraId="5EE062CC" w14:textId="77777777" w:rsidR="00BB06F1" w:rsidRDefault="00BB06F1" w:rsidP="00BB06F1">
      <w:pPr>
        <w:pStyle w:val="Didascalia"/>
        <w:spacing w:after="80"/>
        <w:rPr>
          <w:rFonts w:ascii="Calibri" w:hAnsi="Calibri" w:cs="Calibri"/>
          <w:color w:val="auto"/>
        </w:rPr>
      </w:pPr>
    </w:p>
    <w:p w14:paraId="4B1C5A14" w14:textId="77777777" w:rsidR="00BB06F1" w:rsidRDefault="00BB06F1" w:rsidP="00BB06F1">
      <w:pPr>
        <w:pStyle w:val="Didascalia"/>
        <w:spacing w:after="80"/>
        <w:rPr>
          <w:rFonts w:ascii="Calibri" w:hAnsi="Calibri" w:cs="Calibri"/>
          <w:color w:val="auto"/>
        </w:rPr>
      </w:pPr>
    </w:p>
    <w:p w14:paraId="3E4BD2AC" w14:textId="77777777" w:rsidR="00BB06F1" w:rsidRDefault="00BB06F1" w:rsidP="00BB06F1">
      <w:pPr>
        <w:pStyle w:val="Didascalia"/>
        <w:spacing w:after="80"/>
        <w:rPr>
          <w:rFonts w:ascii="Calibri" w:hAnsi="Calibri" w:cs="Calibri"/>
          <w:color w:val="auto"/>
        </w:rPr>
      </w:pPr>
    </w:p>
    <w:p w14:paraId="691F8584" w14:textId="77777777" w:rsidR="00BB06F1" w:rsidRDefault="00BB06F1" w:rsidP="00BB06F1">
      <w:pPr>
        <w:pStyle w:val="Didascalia"/>
        <w:spacing w:after="80"/>
        <w:rPr>
          <w:rFonts w:ascii="Calibri" w:hAnsi="Calibri" w:cs="Calibri"/>
          <w:color w:val="auto"/>
        </w:rPr>
      </w:pPr>
    </w:p>
    <w:p w14:paraId="53D57158" w14:textId="1787B8A3" w:rsidR="00BB06F1" w:rsidRPr="001243B8" w:rsidRDefault="00BB06F1" w:rsidP="00BB06F1">
      <w:pPr>
        <w:pStyle w:val="Didascalia"/>
        <w:spacing w:after="80"/>
        <w:rPr>
          <w:rFonts w:ascii="Calibri" w:hAnsi="Calibri" w:cs="Calibri"/>
          <w:b/>
          <w:bCs/>
          <w:color w:val="auto"/>
        </w:rPr>
      </w:pPr>
      <w:r w:rsidRPr="001243B8">
        <w:rPr>
          <w:rFonts w:ascii="Calibri" w:hAnsi="Calibri" w:cs="Calibri"/>
          <w:color w:val="auto"/>
        </w:rPr>
        <w:t xml:space="preserve">Due ambiti di particolare interesse: le «Operations» e l’«Human </w:t>
      </w:r>
      <w:proofErr w:type="spellStart"/>
      <w:r w:rsidRPr="001243B8">
        <w:rPr>
          <w:rFonts w:ascii="Calibri" w:hAnsi="Calibri" w:cs="Calibri"/>
          <w:color w:val="auto"/>
        </w:rPr>
        <w:t>Resources</w:t>
      </w:r>
      <w:proofErr w:type="spellEnd"/>
      <w:r w:rsidRPr="001243B8">
        <w:rPr>
          <w:rFonts w:ascii="Calibri" w:hAnsi="Calibri" w:cs="Calibri"/>
          <w:color w:val="auto"/>
        </w:rPr>
        <w:t>»</w:t>
      </w:r>
    </w:p>
    <w:p w14:paraId="501F1B99" w14:textId="209FE2A9" w:rsidR="00F65D5A" w:rsidRDefault="00F65D5A">
      <w:pPr>
        <w:spacing w:after="80"/>
        <w:jc w:val="both"/>
        <w:rPr>
          <w:rFonts w:ascii="Calibri" w:hAnsi="Calibri" w:cs="Calibri"/>
          <w:b/>
          <w:bCs/>
          <w:sz w:val="22"/>
          <w:szCs w:val="22"/>
        </w:rPr>
      </w:pPr>
      <w:r w:rsidRPr="0028021D">
        <w:rPr>
          <w:rFonts w:ascii="Calibri" w:hAnsi="Calibri" w:cs="Calibri"/>
          <w:b/>
          <w:bCs/>
          <w:sz w:val="22"/>
          <w:szCs w:val="22"/>
        </w:rPr>
        <w:t xml:space="preserve">Data center in forte </w:t>
      </w:r>
      <w:r w:rsidR="001243B8">
        <w:rPr>
          <w:rFonts w:ascii="Calibri" w:hAnsi="Calibri" w:cs="Calibri"/>
          <w:b/>
          <w:bCs/>
          <w:sz w:val="22"/>
          <w:szCs w:val="22"/>
        </w:rPr>
        <w:t>ascesa</w:t>
      </w:r>
      <w:r w:rsidRPr="0028021D">
        <w:rPr>
          <w:rFonts w:ascii="Calibri" w:hAnsi="Calibri" w:cs="Calibri"/>
          <w:b/>
          <w:bCs/>
          <w:sz w:val="22"/>
          <w:szCs w:val="22"/>
        </w:rPr>
        <w:t xml:space="preserve"> ma i consumi energetici</w:t>
      </w:r>
      <w:r w:rsidR="001243B8">
        <w:rPr>
          <w:rFonts w:ascii="Calibri" w:hAnsi="Calibri" w:cs="Calibri"/>
          <w:b/>
          <w:bCs/>
          <w:sz w:val="22"/>
          <w:szCs w:val="22"/>
        </w:rPr>
        <w:t xml:space="preserve"> e le emissioni crescono in maniera più contenuta</w:t>
      </w:r>
    </w:p>
    <w:p w14:paraId="6179776B" w14:textId="0F0D9380" w:rsidR="00046A3D" w:rsidRDefault="001812DE" w:rsidP="00046A3D">
      <w:pPr>
        <w:spacing w:after="80"/>
        <w:jc w:val="both"/>
        <w:rPr>
          <w:rFonts w:ascii="Calibri" w:hAnsi="Calibri" w:cs="Calibri"/>
          <w:iCs/>
          <w:sz w:val="22"/>
          <w:szCs w:val="22"/>
        </w:rPr>
      </w:pPr>
      <w:r w:rsidRPr="00046A3D">
        <w:rPr>
          <w:rFonts w:ascii="Calibri" w:hAnsi="Calibri" w:cs="Calibri"/>
          <w:iCs/>
          <w:sz w:val="22"/>
          <w:szCs w:val="22"/>
        </w:rPr>
        <w:t>Nonostante la forte crescita delle installazioni e dell’uso dei data center in Italia, consumi e</w:t>
      </w:r>
      <w:r w:rsidR="00BA22F3">
        <w:rPr>
          <w:rFonts w:ascii="Calibri" w:hAnsi="Calibri" w:cs="Calibri"/>
          <w:iCs/>
          <w:sz w:val="22"/>
          <w:szCs w:val="22"/>
        </w:rPr>
        <w:t>d</w:t>
      </w:r>
      <w:r w:rsidRPr="00046A3D">
        <w:rPr>
          <w:rFonts w:ascii="Calibri" w:hAnsi="Calibri" w:cs="Calibri"/>
          <w:iCs/>
          <w:sz w:val="22"/>
          <w:szCs w:val="22"/>
        </w:rPr>
        <w:t xml:space="preserve"> emissioni </w:t>
      </w:r>
      <w:r w:rsidR="00BA22F3">
        <w:rPr>
          <w:rFonts w:ascii="Calibri" w:hAnsi="Calibri" w:cs="Calibri"/>
          <w:iCs/>
          <w:sz w:val="22"/>
          <w:szCs w:val="22"/>
        </w:rPr>
        <w:t>sono</w:t>
      </w:r>
      <w:r w:rsidRPr="00046A3D">
        <w:rPr>
          <w:rFonts w:ascii="Calibri" w:hAnsi="Calibri" w:cs="Calibri"/>
          <w:iCs/>
          <w:sz w:val="22"/>
          <w:szCs w:val="22"/>
        </w:rPr>
        <w:t xml:space="preserve"> inferior</w:t>
      </w:r>
      <w:r w:rsidR="00990FD8">
        <w:rPr>
          <w:rFonts w:ascii="Calibri" w:hAnsi="Calibri" w:cs="Calibri"/>
          <w:iCs/>
          <w:sz w:val="22"/>
          <w:szCs w:val="22"/>
        </w:rPr>
        <w:t>i</w:t>
      </w:r>
      <w:r w:rsidRPr="00046A3D">
        <w:rPr>
          <w:rFonts w:ascii="Calibri" w:hAnsi="Calibri" w:cs="Calibri"/>
          <w:iCs/>
          <w:sz w:val="22"/>
          <w:szCs w:val="22"/>
        </w:rPr>
        <w:t xml:space="preserve"> alle attese: s</w:t>
      </w:r>
      <w:r w:rsidRPr="001243B8">
        <w:rPr>
          <w:rFonts w:ascii="Calibri" w:hAnsi="Calibri" w:cs="Calibri"/>
          <w:iCs/>
          <w:sz w:val="22"/>
          <w:szCs w:val="22"/>
        </w:rPr>
        <w:t xml:space="preserve">econdo i dati dell’IEA, infatti, il </w:t>
      </w:r>
      <w:proofErr w:type="spellStart"/>
      <w:r w:rsidRPr="001243B8">
        <w:rPr>
          <w:rFonts w:ascii="Calibri" w:hAnsi="Calibri" w:cs="Calibri"/>
          <w:iCs/>
          <w:sz w:val="22"/>
          <w:szCs w:val="22"/>
        </w:rPr>
        <w:t>workload</w:t>
      </w:r>
      <w:proofErr w:type="spellEnd"/>
      <w:r w:rsidRPr="001243B8">
        <w:rPr>
          <w:rFonts w:ascii="Calibri" w:hAnsi="Calibri" w:cs="Calibri"/>
          <w:iCs/>
          <w:sz w:val="22"/>
          <w:szCs w:val="22"/>
        </w:rPr>
        <w:t xml:space="preserve"> globale associato è aumentato del  340% nel 2022 rispetto al 2015, mentre i consumi </w:t>
      </w:r>
      <w:r w:rsidR="00BA22F3">
        <w:rPr>
          <w:rFonts w:ascii="Calibri" w:hAnsi="Calibri" w:cs="Calibri"/>
          <w:iCs/>
          <w:sz w:val="22"/>
          <w:szCs w:val="22"/>
        </w:rPr>
        <w:t xml:space="preserve">sono cresciuti </w:t>
      </w:r>
      <w:r w:rsidRPr="001243B8">
        <w:rPr>
          <w:rFonts w:ascii="Calibri" w:hAnsi="Calibri" w:cs="Calibri"/>
          <w:iCs/>
          <w:sz w:val="22"/>
          <w:szCs w:val="22"/>
        </w:rPr>
        <w:t>solo tra il 20% e il 70%, sia per l’incremento dell’efficienza della componentistica IT che per una gestione efficace dell’energia di tutte le infrastrutture presenti all’interno del data center, a partire dai sistemi di cooling.</w:t>
      </w:r>
      <w:r w:rsidR="00046A3D" w:rsidRPr="001243B8">
        <w:rPr>
          <w:rFonts w:ascii="Calibri" w:hAnsi="Calibri" w:cs="Calibri"/>
          <w:iCs/>
          <w:sz w:val="22"/>
          <w:szCs w:val="22"/>
        </w:rPr>
        <w:t xml:space="preserve"> Inoltre, sebbene il consumo energetico associato ai data center costituisca nel 2022 l’1% del totale, le emissioni di </w:t>
      </w:r>
      <w:r w:rsidR="00046A3D" w:rsidRPr="00046A3D">
        <w:rPr>
          <w:rFonts w:ascii="Calibri" w:hAnsi="Calibri" w:cs="Calibri"/>
          <w:iCs/>
          <w:color w:val="000000" w:themeColor="text1"/>
          <w:spacing w:val="10"/>
          <w:sz w:val="22"/>
          <w:szCs w:val="22"/>
        </w:rPr>
        <w:t>CO</w:t>
      </w:r>
      <w:r w:rsidR="00046A3D" w:rsidRPr="00046A3D">
        <w:rPr>
          <w:rFonts w:ascii="Calibri" w:hAnsi="Calibri" w:cs="Calibri"/>
          <w:iCs/>
          <w:color w:val="000000" w:themeColor="text1"/>
          <w:spacing w:val="10"/>
          <w:sz w:val="22"/>
          <w:szCs w:val="22"/>
          <w:vertAlign w:val="subscript"/>
        </w:rPr>
        <w:t xml:space="preserve">2 </w:t>
      </w:r>
      <w:r w:rsidR="00046A3D" w:rsidRPr="001243B8">
        <w:rPr>
          <w:rFonts w:ascii="Calibri" w:hAnsi="Calibri" w:cs="Calibri"/>
          <w:iCs/>
          <w:sz w:val="22"/>
          <w:szCs w:val="22"/>
        </w:rPr>
        <w:t xml:space="preserve">derivanti sono solo lo 0,5%, testimoniando le tendenze degli operatori </w:t>
      </w:r>
      <w:r w:rsidR="00046A3D">
        <w:rPr>
          <w:rFonts w:ascii="Calibri" w:hAnsi="Calibri" w:cs="Calibri"/>
          <w:iCs/>
          <w:sz w:val="22"/>
          <w:szCs w:val="22"/>
        </w:rPr>
        <w:t>di</w:t>
      </w:r>
      <w:r w:rsidR="00046A3D" w:rsidRPr="001243B8">
        <w:rPr>
          <w:rFonts w:ascii="Calibri" w:hAnsi="Calibri" w:cs="Calibri"/>
          <w:iCs/>
          <w:sz w:val="22"/>
          <w:szCs w:val="22"/>
        </w:rPr>
        <w:t xml:space="preserve"> dotarsi di un mix energetico meno carbon intensive.  </w:t>
      </w:r>
    </w:p>
    <w:p w14:paraId="0A026AA6" w14:textId="5F08888A" w:rsidR="00046A3D" w:rsidRPr="00046A3D" w:rsidRDefault="00046A3D" w:rsidP="00046A3D">
      <w:pPr>
        <w:spacing w:after="80"/>
        <w:jc w:val="both"/>
        <w:rPr>
          <w:rFonts w:ascii="Calibri" w:hAnsi="Calibri" w:cs="Calibri"/>
          <w:iCs/>
          <w:color w:val="000000" w:themeColor="text1"/>
          <w:spacing w:val="10"/>
          <w:sz w:val="22"/>
          <w:szCs w:val="22"/>
        </w:rPr>
      </w:pPr>
      <w:r w:rsidRPr="00E0429E">
        <w:rPr>
          <w:rFonts w:ascii="Calibri" w:hAnsi="Calibri" w:cs="Calibri"/>
          <w:noProof/>
          <w:spacing w:val="-7"/>
          <w:sz w:val="22"/>
          <w:szCs w:val="22"/>
        </w:rPr>
        <w:drawing>
          <wp:anchor distT="0" distB="0" distL="114300" distR="114300" simplePos="0" relativeHeight="251696128" behindDoc="0" locked="0" layoutInCell="1" allowOverlap="1" wp14:anchorId="656B045A" wp14:editId="793197EC">
            <wp:simplePos x="0" y="0"/>
            <wp:positionH relativeFrom="margin">
              <wp:align>left</wp:align>
            </wp:positionH>
            <wp:positionV relativeFrom="paragraph">
              <wp:posOffset>86723</wp:posOffset>
            </wp:positionV>
            <wp:extent cx="4319905" cy="1784350"/>
            <wp:effectExtent l="0" t="0" r="4445" b="6350"/>
            <wp:wrapSquare wrapText="bothSides"/>
            <wp:docPr id="1411221850" name="Picture 89349935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99357" name="Immagine 7" descr="Immagine che contiene testo, schermata, Carattere, logo&#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4319905" cy="1784350"/>
                    </a:xfrm>
                    <a:prstGeom prst="rect">
                      <a:avLst/>
                    </a:prstGeom>
                  </pic:spPr>
                </pic:pic>
              </a:graphicData>
            </a:graphic>
            <wp14:sizeRelH relativeFrom="margin">
              <wp14:pctWidth>0</wp14:pctWidth>
            </wp14:sizeRelH>
            <wp14:sizeRelV relativeFrom="margin">
              <wp14:pctHeight>0</wp14:pctHeight>
            </wp14:sizeRelV>
          </wp:anchor>
        </w:drawing>
      </w:r>
    </w:p>
    <w:p w14:paraId="6C7FDD94" w14:textId="77777777" w:rsidR="00046A3D" w:rsidRDefault="00046A3D" w:rsidP="001812DE">
      <w:pPr>
        <w:spacing w:after="80"/>
        <w:jc w:val="both"/>
        <w:rPr>
          <w:rFonts w:ascii="Calibri" w:hAnsi="Calibri" w:cs="Calibri"/>
          <w:sz w:val="22"/>
          <w:szCs w:val="22"/>
        </w:rPr>
      </w:pPr>
    </w:p>
    <w:p w14:paraId="168021A8" w14:textId="77777777" w:rsidR="00046A3D" w:rsidRDefault="00046A3D" w:rsidP="001812DE">
      <w:pPr>
        <w:spacing w:after="80"/>
        <w:jc w:val="both"/>
        <w:rPr>
          <w:rFonts w:ascii="Calibri" w:hAnsi="Calibri" w:cs="Calibri"/>
          <w:sz w:val="22"/>
          <w:szCs w:val="22"/>
        </w:rPr>
      </w:pPr>
    </w:p>
    <w:p w14:paraId="10AFC0FD" w14:textId="77777777" w:rsidR="00046A3D" w:rsidRDefault="00046A3D" w:rsidP="001812DE">
      <w:pPr>
        <w:spacing w:after="80"/>
        <w:jc w:val="both"/>
        <w:rPr>
          <w:rFonts w:ascii="Calibri" w:hAnsi="Calibri" w:cs="Calibri"/>
          <w:sz w:val="22"/>
          <w:szCs w:val="22"/>
        </w:rPr>
      </w:pPr>
    </w:p>
    <w:p w14:paraId="5E1CD187" w14:textId="77777777" w:rsidR="00046A3D" w:rsidRDefault="00046A3D" w:rsidP="001812DE">
      <w:pPr>
        <w:spacing w:after="80"/>
        <w:jc w:val="both"/>
        <w:rPr>
          <w:rFonts w:ascii="Calibri" w:hAnsi="Calibri" w:cs="Calibri"/>
          <w:sz w:val="22"/>
          <w:szCs w:val="22"/>
        </w:rPr>
      </w:pPr>
    </w:p>
    <w:p w14:paraId="495683B2" w14:textId="77777777" w:rsidR="00046A3D" w:rsidRDefault="00046A3D" w:rsidP="001812DE">
      <w:pPr>
        <w:spacing w:after="80"/>
        <w:jc w:val="both"/>
        <w:rPr>
          <w:rFonts w:ascii="Calibri" w:hAnsi="Calibri" w:cs="Calibri"/>
          <w:sz w:val="22"/>
          <w:szCs w:val="22"/>
        </w:rPr>
      </w:pPr>
    </w:p>
    <w:p w14:paraId="4D0ED50E" w14:textId="77777777" w:rsidR="00046A3D" w:rsidRDefault="00046A3D" w:rsidP="001812DE">
      <w:pPr>
        <w:spacing w:after="80"/>
        <w:jc w:val="both"/>
        <w:rPr>
          <w:rFonts w:ascii="Calibri" w:hAnsi="Calibri" w:cs="Calibri"/>
          <w:sz w:val="22"/>
          <w:szCs w:val="22"/>
        </w:rPr>
      </w:pPr>
    </w:p>
    <w:p w14:paraId="7EC7B6E8" w14:textId="77777777" w:rsidR="00046A3D" w:rsidRDefault="00046A3D" w:rsidP="001812DE">
      <w:pPr>
        <w:spacing w:after="80"/>
        <w:jc w:val="both"/>
        <w:rPr>
          <w:rFonts w:ascii="Calibri" w:hAnsi="Calibri" w:cs="Calibri"/>
          <w:sz w:val="22"/>
          <w:szCs w:val="22"/>
        </w:rPr>
      </w:pPr>
    </w:p>
    <w:p w14:paraId="5D430054" w14:textId="77777777" w:rsidR="00046A3D" w:rsidRDefault="00046A3D" w:rsidP="00046A3D">
      <w:pPr>
        <w:spacing w:after="80"/>
        <w:jc w:val="both"/>
        <w:rPr>
          <w:rFonts w:ascii="Calibri" w:hAnsi="Calibri" w:cs="Calibri"/>
          <w:color w:val="000000" w:themeColor="text1"/>
          <w:sz w:val="18"/>
          <w:szCs w:val="18"/>
        </w:rPr>
      </w:pPr>
    </w:p>
    <w:p w14:paraId="4CAEB431" w14:textId="36692EFC" w:rsidR="00046A3D" w:rsidRPr="00395CE8" w:rsidRDefault="00046A3D" w:rsidP="00046A3D">
      <w:pPr>
        <w:spacing w:after="80"/>
        <w:jc w:val="both"/>
        <w:rPr>
          <w:rFonts w:ascii="Calibri" w:hAnsi="Calibri" w:cs="Calibri"/>
          <w:i/>
          <w:iCs/>
          <w:noProof/>
          <w:color w:val="000000" w:themeColor="text1"/>
          <w:sz w:val="18"/>
          <w:szCs w:val="18"/>
        </w:rPr>
      </w:pPr>
      <w:proofErr w:type="spellStart"/>
      <w:r w:rsidRPr="00395CE8">
        <w:rPr>
          <w:rFonts w:ascii="Calibri" w:hAnsi="Calibri" w:cs="Calibri"/>
          <w:i/>
          <w:iCs/>
          <w:color w:val="000000" w:themeColor="text1"/>
          <w:sz w:val="18"/>
          <w:szCs w:val="18"/>
        </w:rPr>
        <w:t>Workload</w:t>
      </w:r>
      <w:proofErr w:type="spellEnd"/>
      <w:r w:rsidRPr="00395CE8">
        <w:rPr>
          <w:rFonts w:ascii="Calibri" w:hAnsi="Calibri" w:cs="Calibri"/>
          <w:i/>
          <w:iCs/>
          <w:color w:val="000000" w:themeColor="text1"/>
          <w:sz w:val="18"/>
          <w:szCs w:val="18"/>
        </w:rPr>
        <w:t>, consumi ed emissioni associati ai data center a livello globale</w:t>
      </w:r>
    </w:p>
    <w:p w14:paraId="7B10CB10" w14:textId="380E5174" w:rsidR="0061501A" w:rsidRDefault="001812DE" w:rsidP="00D309B7">
      <w:pPr>
        <w:spacing w:after="80"/>
        <w:jc w:val="both"/>
        <w:rPr>
          <w:rFonts w:asciiTheme="majorHAnsi" w:hAnsiTheme="majorHAnsi" w:cstheme="majorHAnsi"/>
          <w:sz w:val="22"/>
          <w:szCs w:val="22"/>
        </w:rPr>
      </w:pPr>
      <w:r w:rsidRPr="00D93A98">
        <w:rPr>
          <w:rFonts w:ascii="Calibri" w:hAnsi="Calibri" w:cs="Calibri"/>
          <w:sz w:val="22"/>
          <w:szCs w:val="22"/>
        </w:rPr>
        <w:t>Tuttavia, per realizzare gli obiettivi legati alla transizione gemella è necessario raggiungere la piena decarbonizzazione di queste infrastrutture.</w:t>
      </w:r>
      <w:r>
        <w:rPr>
          <w:rFonts w:ascii="Calibri" w:hAnsi="Calibri" w:cs="Calibri"/>
          <w:sz w:val="22"/>
          <w:szCs w:val="22"/>
        </w:rPr>
        <w:t xml:space="preserve"> </w:t>
      </w:r>
      <w:r w:rsidRPr="00E0429E">
        <w:rPr>
          <w:rFonts w:ascii="Calibri" w:hAnsi="Calibri" w:cs="Calibri"/>
          <w:sz w:val="22"/>
          <w:szCs w:val="22"/>
        </w:rPr>
        <w:t xml:space="preserve">Le opzioni </w:t>
      </w:r>
      <w:r>
        <w:rPr>
          <w:rFonts w:ascii="Calibri" w:hAnsi="Calibri" w:cs="Calibri"/>
          <w:sz w:val="22"/>
          <w:szCs w:val="22"/>
        </w:rPr>
        <w:t>s</w:t>
      </w:r>
      <w:r w:rsidRPr="00E0429E">
        <w:rPr>
          <w:rFonts w:ascii="Calibri" w:hAnsi="Calibri" w:cs="Calibri"/>
          <w:sz w:val="22"/>
          <w:szCs w:val="22"/>
        </w:rPr>
        <w:t xml:space="preserve">ono numerose e classificabili lungo quattro ambiti: approvvigionamento di energia elettrica rinnovabile, decarbonizzazione della generazione di backup, iniziative a supporto della rete e ottimizzazione dei sistemi di </w:t>
      </w:r>
      <w:proofErr w:type="spellStart"/>
      <w:r w:rsidRPr="00E0429E">
        <w:rPr>
          <w:rFonts w:ascii="Calibri" w:hAnsi="Calibri" w:cs="Calibri"/>
          <w:sz w:val="22"/>
          <w:szCs w:val="22"/>
        </w:rPr>
        <w:t>cooling</w:t>
      </w:r>
      <w:proofErr w:type="spellEnd"/>
      <w:r w:rsidRPr="00E0429E">
        <w:rPr>
          <w:rFonts w:ascii="Calibri" w:hAnsi="Calibri" w:cs="Calibri"/>
          <w:sz w:val="22"/>
          <w:szCs w:val="22"/>
        </w:rPr>
        <w:t xml:space="preserve">. In particolare, si osserva come l’adozione del free cooling, in combinazione con l’aumento delle temperature all’interno delle sale server, </w:t>
      </w:r>
      <w:r w:rsidRPr="00E0429E">
        <w:rPr>
          <w:rFonts w:ascii="Calibri" w:hAnsi="Calibri" w:cs="Calibri"/>
          <w:sz w:val="22"/>
          <w:szCs w:val="22"/>
        </w:rPr>
        <w:lastRenderedPageBreak/>
        <w:t xml:space="preserve">sia oramai diventato uno standard tra gli operatori grazie anche a tempi di ritorno dell’investimento estremamente bassi. Il riutilizzo del calore di scarto </w:t>
      </w:r>
      <w:r w:rsidR="0061501A">
        <w:rPr>
          <w:rFonts w:ascii="Calibri" w:hAnsi="Calibri" w:cs="Calibri"/>
          <w:sz w:val="22"/>
          <w:szCs w:val="22"/>
        </w:rPr>
        <w:t>invece</w:t>
      </w:r>
      <w:r w:rsidRPr="00E0429E">
        <w:rPr>
          <w:rFonts w:ascii="Calibri" w:hAnsi="Calibri" w:cs="Calibri"/>
          <w:sz w:val="22"/>
          <w:szCs w:val="22"/>
        </w:rPr>
        <w:t xml:space="preserve">, soprattutto nel contesto </w:t>
      </w:r>
      <w:r w:rsidRPr="001812DE">
        <w:rPr>
          <w:rFonts w:ascii="Calibri" w:hAnsi="Calibri" w:cs="Calibri"/>
          <w:sz w:val="22"/>
          <w:szCs w:val="22"/>
        </w:rPr>
        <w:t xml:space="preserve">italiano, </w:t>
      </w:r>
      <w:r w:rsidR="0061501A">
        <w:rPr>
          <w:rFonts w:ascii="Calibri" w:hAnsi="Calibri" w:cs="Calibri"/>
          <w:sz w:val="22"/>
          <w:szCs w:val="22"/>
        </w:rPr>
        <w:t xml:space="preserve">è </w:t>
      </w:r>
      <w:r w:rsidRPr="001812DE">
        <w:rPr>
          <w:rFonts w:ascii="Calibri" w:hAnsi="Calibri" w:cs="Calibri"/>
          <w:sz w:val="22"/>
          <w:szCs w:val="22"/>
        </w:rPr>
        <w:t>limitato dalla ridotta diffusione delle reti di teleriscaldamento</w:t>
      </w:r>
      <w:r w:rsidRPr="0061501A">
        <w:rPr>
          <w:rFonts w:asciiTheme="majorHAnsi" w:hAnsiTheme="majorHAnsi" w:cstheme="majorHAnsi"/>
          <w:sz w:val="22"/>
          <w:szCs w:val="22"/>
        </w:rPr>
        <w:t xml:space="preserve">. </w:t>
      </w:r>
    </w:p>
    <w:p w14:paraId="0B132C71" w14:textId="36E03BC2" w:rsidR="00D309B7" w:rsidRPr="00E0429E" w:rsidRDefault="0061501A" w:rsidP="00D309B7">
      <w:pPr>
        <w:spacing w:after="80"/>
        <w:jc w:val="both"/>
        <w:rPr>
          <w:rFonts w:ascii="Calibri" w:hAnsi="Calibri" w:cs="Calibri"/>
          <w:sz w:val="22"/>
          <w:szCs w:val="22"/>
        </w:rPr>
      </w:pPr>
      <w:r>
        <w:rPr>
          <w:rFonts w:asciiTheme="majorHAnsi" w:hAnsiTheme="majorHAnsi" w:cstheme="majorHAnsi"/>
          <w:sz w:val="22"/>
          <w:szCs w:val="22"/>
        </w:rPr>
        <w:t>L</w:t>
      </w:r>
      <w:r w:rsidR="00AB1905" w:rsidRPr="0061501A">
        <w:rPr>
          <w:rStyle w:val="cf21"/>
          <w:rFonts w:asciiTheme="majorHAnsi" w:hAnsiTheme="majorHAnsi" w:cstheme="majorHAnsi"/>
          <w:b w:val="0"/>
          <w:bCs w:val="0"/>
          <w:sz w:val="22"/>
          <w:szCs w:val="22"/>
        </w:rPr>
        <w:t>’approvvigionamento</w:t>
      </w:r>
      <w:r w:rsidR="00AB1905" w:rsidRPr="0061501A">
        <w:rPr>
          <w:rStyle w:val="cf11"/>
          <w:rFonts w:asciiTheme="majorHAnsi" w:hAnsiTheme="majorHAnsi" w:cstheme="majorHAnsi"/>
          <w:sz w:val="22"/>
          <w:szCs w:val="22"/>
        </w:rPr>
        <w:t xml:space="preserve"> di energia </w:t>
      </w:r>
      <w:r>
        <w:rPr>
          <w:rStyle w:val="cf11"/>
          <w:rFonts w:asciiTheme="majorHAnsi" w:hAnsiTheme="majorHAnsi" w:cstheme="majorHAnsi"/>
          <w:sz w:val="22"/>
          <w:szCs w:val="22"/>
        </w:rPr>
        <w:t>da</w:t>
      </w:r>
      <w:r w:rsidR="00AB1905" w:rsidRPr="0061501A">
        <w:rPr>
          <w:rStyle w:val="cf21"/>
          <w:rFonts w:asciiTheme="majorHAnsi" w:hAnsiTheme="majorHAnsi" w:cstheme="majorHAnsi"/>
          <w:b w:val="0"/>
          <w:bCs w:val="0"/>
          <w:sz w:val="22"/>
          <w:szCs w:val="22"/>
        </w:rPr>
        <w:t xml:space="preserve"> fonti rinnovabili</w:t>
      </w:r>
      <w:r>
        <w:rPr>
          <w:rStyle w:val="cf21"/>
          <w:rFonts w:asciiTheme="majorHAnsi" w:hAnsiTheme="majorHAnsi" w:cstheme="majorHAnsi"/>
          <w:b w:val="0"/>
          <w:bCs w:val="0"/>
          <w:sz w:val="22"/>
          <w:szCs w:val="22"/>
        </w:rPr>
        <w:t xml:space="preserve"> rimane di estremo interesse per </w:t>
      </w:r>
      <w:r>
        <w:rPr>
          <w:rStyle w:val="cf11"/>
          <w:rFonts w:asciiTheme="majorHAnsi" w:hAnsiTheme="majorHAnsi" w:cstheme="majorHAnsi"/>
          <w:sz w:val="22"/>
          <w:szCs w:val="22"/>
        </w:rPr>
        <w:t xml:space="preserve">gli operatori, </w:t>
      </w:r>
      <w:r w:rsidR="00AB1905" w:rsidRPr="0061501A">
        <w:rPr>
          <w:rStyle w:val="cf11"/>
          <w:rFonts w:asciiTheme="majorHAnsi" w:hAnsiTheme="majorHAnsi" w:cstheme="majorHAnsi"/>
          <w:sz w:val="22"/>
          <w:szCs w:val="22"/>
        </w:rPr>
        <w:t>ma</w:t>
      </w:r>
      <w:r>
        <w:rPr>
          <w:rStyle w:val="cf11"/>
          <w:rFonts w:asciiTheme="majorHAnsi" w:hAnsiTheme="majorHAnsi" w:cstheme="majorHAnsi"/>
          <w:sz w:val="22"/>
          <w:szCs w:val="22"/>
        </w:rPr>
        <w:t>,</w:t>
      </w:r>
      <w:r w:rsidR="00AB1905" w:rsidRPr="0061501A">
        <w:rPr>
          <w:rStyle w:val="cf11"/>
          <w:rFonts w:asciiTheme="majorHAnsi" w:hAnsiTheme="majorHAnsi" w:cstheme="majorHAnsi"/>
          <w:sz w:val="22"/>
          <w:szCs w:val="22"/>
        </w:rPr>
        <w:t xml:space="preserve"> </w:t>
      </w:r>
      <w:r>
        <w:rPr>
          <w:rStyle w:val="cf11"/>
          <w:rFonts w:asciiTheme="majorHAnsi" w:hAnsiTheme="majorHAnsi" w:cstheme="majorHAnsi"/>
          <w:sz w:val="22"/>
          <w:szCs w:val="22"/>
        </w:rPr>
        <w:t>viste</w:t>
      </w:r>
      <w:r w:rsidR="00AB1905" w:rsidRPr="0061501A">
        <w:rPr>
          <w:rStyle w:val="cf11"/>
          <w:rFonts w:asciiTheme="majorHAnsi" w:hAnsiTheme="majorHAnsi" w:cstheme="majorHAnsi"/>
          <w:sz w:val="22"/>
          <w:szCs w:val="22"/>
        </w:rPr>
        <w:t xml:space="preserve"> le difficoltà di installare rinnovabili in loco</w:t>
      </w:r>
      <w:r>
        <w:rPr>
          <w:rStyle w:val="cf11"/>
          <w:rFonts w:asciiTheme="majorHAnsi" w:hAnsiTheme="majorHAnsi" w:cstheme="majorHAnsi"/>
          <w:sz w:val="22"/>
          <w:szCs w:val="22"/>
        </w:rPr>
        <w:t>,</w:t>
      </w:r>
      <w:r w:rsidR="00AB1905" w:rsidRPr="0061501A">
        <w:rPr>
          <w:rStyle w:val="cf11"/>
          <w:rFonts w:asciiTheme="majorHAnsi" w:hAnsiTheme="majorHAnsi" w:cstheme="majorHAnsi"/>
          <w:sz w:val="22"/>
          <w:szCs w:val="22"/>
        </w:rPr>
        <w:t xml:space="preserve"> a</w:t>
      </w:r>
      <w:r>
        <w:rPr>
          <w:rStyle w:val="cf11"/>
          <w:rFonts w:asciiTheme="majorHAnsi" w:hAnsiTheme="majorHAnsi" w:cstheme="majorHAnsi"/>
          <w:sz w:val="22"/>
          <w:szCs w:val="22"/>
        </w:rPr>
        <w:t xml:space="preserve">l momento vengono utilizzati maggiormente </w:t>
      </w:r>
      <w:r w:rsidR="00AB1905" w:rsidRPr="0061501A">
        <w:rPr>
          <w:rStyle w:val="cf21"/>
          <w:rFonts w:asciiTheme="majorHAnsi" w:hAnsiTheme="majorHAnsi" w:cstheme="majorHAnsi"/>
          <w:b w:val="0"/>
          <w:bCs w:val="0"/>
          <w:sz w:val="22"/>
          <w:szCs w:val="22"/>
        </w:rPr>
        <w:t xml:space="preserve">strumenti quali le garanzie di origine e i contratti PPA </w:t>
      </w:r>
      <w:r w:rsidR="00AB1905" w:rsidRPr="0061501A">
        <w:rPr>
          <w:rStyle w:val="cf11"/>
          <w:rFonts w:asciiTheme="majorHAnsi" w:hAnsiTheme="majorHAnsi" w:cstheme="majorHAnsi"/>
          <w:sz w:val="22"/>
          <w:szCs w:val="22"/>
        </w:rPr>
        <w:t xml:space="preserve">per compensare </w:t>
      </w:r>
      <w:r>
        <w:rPr>
          <w:rStyle w:val="cf11"/>
          <w:rFonts w:asciiTheme="majorHAnsi" w:hAnsiTheme="majorHAnsi" w:cstheme="majorHAnsi"/>
          <w:sz w:val="22"/>
          <w:szCs w:val="22"/>
        </w:rPr>
        <w:t xml:space="preserve">le emissioni </w:t>
      </w:r>
      <w:r w:rsidR="00AB1905" w:rsidRPr="0061501A">
        <w:rPr>
          <w:rStyle w:val="cf11"/>
          <w:rFonts w:asciiTheme="majorHAnsi" w:hAnsiTheme="majorHAnsi" w:cstheme="majorHAnsi"/>
          <w:sz w:val="22"/>
          <w:szCs w:val="22"/>
        </w:rPr>
        <w:t>a livello annuale</w:t>
      </w:r>
      <w:r>
        <w:rPr>
          <w:rStyle w:val="cf11"/>
          <w:rFonts w:asciiTheme="majorHAnsi" w:hAnsiTheme="majorHAnsi" w:cstheme="majorHAnsi"/>
          <w:sz w:val="22"/>
          <w:szCs w:val="22"/>
        </w:rPr>
        <w:t>.</w:t>
      </w:r>
      <w:r w:rsidR="00AB1905" w:rsidRPr="0061501A">
        <w:rPr>
          <w:rStyle w:val="cf11"/>
          <w:rFonts w:asciiTheme="majorHAnsi" w:hAnsiTheme="majorHAnsi" w:cstheme="majorHAnsi"/>
          <w:sz w:val="22"/>
          <w:szCs w:val="22"/>
        </w:rPr>
        <w:t xml:space="preserve"> </w:t>
      </w:r>
      <w:r w:rsidR="00AB1905" w:rsidRPr="0061501A">
        <w:rPr>
          <w:rStyle w:val="cf21"/>
          <w:rFonts w:asciiTheme="majorHAnsi" w:hAnsiTheme="majorHAnsi" w:cstheme="majorHAnsi"/>
          <w:b w:val="0"/>
          <w:bCs w:val="0"/>
          <w:sz w:val="22"/>
          <w:szCs w:val="22"/>
        </w:rPr>
        <w:t xml:space="preserve">Solo gli operatori più avanzati hanno come obiettivo </w:t>
      </w:r>
      <w:r w:rsidR="00AB1905" w:rsidRPr="0061501A">
        <w:rPr>
          <w:rStyle w:val="cf11"/>
          <w:rFonts w:asciiTheme="majorHAnsi" w:hAnsiTheme="majorHAnsi" w:cstheme="majorHAnsi"/>
          <w:sz w:val="22"/>
          <w:szCs w:val="22"/>
        </w:rPr>
        <w:t xml:space="preserve">la compensazione su base oraria dei consumi, tramite </w:t>
      </w:r>
      <w:r w:rsidR="00AB1905" w:rsidRPr="0061501A">
        <w:rPr>
          <w:rStyle w:val="cf21"/>
          <w:rFonts w:asciiTheme="majorHAnsi" w:hAnsiTheme="majorHAnsi" w:cstheme="majorHAnsi"/>
          <w:b w:val="0"/>
          <w:bCs w:val="0"/>
          <w:sz w:val="22"/>
          <w:szCs w:val="22"/>
        </w:rPr>
        <w:t xml:space="preserve">l’adozione di una strategia </w:t>
      </w:r>
      <w:r w:rsidR="00AB1905" w:rsidRPr="0061501A">
        <w:rPr>
          <w:rStyle w:val="cf31"/>
          <w:rFonts w:asciiTheme="majorHAnsi" w:hAnsiTheme="majorHAnsi" w:cstheme="majorHAnsi"/>
          <w:b w:val="0"/>
          <w:bCs w:val="0"/>
          <w:i w:val="0"/>
          <w:iCs w:val="0"/>
          <w:sz w:val="22"/>
          <w:szCs w:val="22"/>
        </w:rPr>
        <w:t xml:space="preserve">carbon free </w:t>
      </w:r>
      <w:r w:rsidR="00AB1905" w:rsidRPr="0061501A">
        <w:rPr>
          <w:rStyle w:val="cf21"/>
          <w:rFonts w:asciiTheme="majorHAnsi" w:hAnsiTheme="majorHAnsi" w:cstheme="majorHAnsi"/>
          <w:b w:val="0"/>
          <w:bCs w:val="0"/>
          <w:sz w:val="22"/>
          <w:szCs w:val="22"/>
        </w:rPr>
        <w:t>24/7.</w:t>
      </w:r>
      <w:r>
        <w:rPr>
          <w:rStyle w:val="cf21"/>
          <w:rFonts w:asciiTheme="majorHAnsi" w:hAnsiTheme="majorHAnsi" w:cstheme="majorHAnsi"/>
          <w:b w:val="0"/>
          <w:bCs w:val="0"/>
          <w:sz w:val="22"/>
          <w:szCs w:val="22"/>
        </w:rPr>
        <w:t xml:space="preserve"> </w:t>
      </w:r>
      <w:r w:rsidR="001812DE" w:rsidRPr="001812DE">
        <w:rPr>
          <w:rFonts w:ascii="Calibri" w:hAnsi="Calibri" w:cs="Calibri"/>
          <w:sz w:val="22"/>
          <w:szCs w:val="22"/>
        </w:rPr>
        <w:t xml:space="preserve">I </w:t>
      </w:r>
      <w:r w:rsidR="00D309B7" w:rsidRPr="001243B8">
        <w:rPr>
          <w:rFonts w:ascii="Calibri" w:hAnsi="Calibri" w:cs="Calibri"/>
          <w:sz w:val="22"/>
          <w:szCs w:val="22"/>
        </w:rPr>
        <w:t xml:space="preserve">data center presentano </w:t>
      </w:r>
      <w:r w:rsidR="001812DE">
        <w:rPr>
          <w:rFonts w:ascii="Calibri" w:hAnsi="Calibri" w:cs="Calibri"/>
          <w:sz w:val="22"/>
          <w:szCs w:val="22"/>
        </w:rPr>
        <w:t xml:space="preserve">poi </w:t>
      </w:r>
      <w:r w:rsidR="00D309B7" w:rsidRPr="001243B8">
        <w:rPr>
          <w:rFonts w:ascii="Calibri" w:hAnsi="Calibri" w:cs="Calibri"/>
          <w:sz w:val="22"/>
          <w:szCs w:val="22"/>
        </w:rPr>
        <w:t xml:space="preserve">un ottimo potenziale, attualmente poco sfruttato, nell’adeguare la propria richiesta di energia alla disponibilità di </w:t>
      </w:r>
      <w:r>
        <w:rPr>
          <w:rFonts w:ascii="Calibri" w:hAnsi="Calibri" w:cs="Calibri"/>
          <w:sz w:val="22"/>
          <w:szCs w:val="22"/>
        </w:rPr>
        <w:t>quella</w:t>
      </w:r>
      <w:r w:rsidR="00D309B7" w:rsidRPr="001243B8">
        <w:rPr>
          <w:rFonts w:ascii="Calibri" w:hAnsi="Calibri" w:cs="Calibri"/>
          <w:sz w:val="22"/>
          <w:szCs w:val="22"/>
        </w:rPr>
        <w:t xml:space="preserve"> rinnovabile e nel fornire supporto alla rete in casi di instabilità. </w:t>
      </w:r>
    </w:p>
    <w:p w14:paraId="11F13D9F" w14:textId="636B4200" w:rsidR="00BA22F3" w:rsidRPr="00E0429E" w:rsidRDefault="006812D0" w:rsidP="00BA22F3">
      <w:pPr>
        <w:spacing w:after="80"/>
        <w:jc w:val="both"/>
        <w:rPr>
          <w:rFonts w:ascii="Calibri" w:hAnsi="Calibri" w:cs="Calibri"/>
          <w:color w:val="000000" w:themeColor="text1"/>
          <w:spacing w:val="10"/>
          <w:sz w:val="22"/>
          <w:szCs w:val="22"/>
        </w:rPr>
      </w:pPr>
      <w:r w:rsidRPr="001243B8">
        <w:rPr>
          <w:rFonts w:ascii="Calibri" w:hAnsi="Calibri" w:cs="Calibri"/>
          <w:sz w:val="22"/>
          <w:szCs w:val="22"/>
        </w:rPr>
        <w:t xml:space="preserve">Come già riscontrato </w:t>
      </w:r>
      <w:r w:rsidR="00BA22F3">
        <w:rPr>
          <w:rFonts w:ascii="Calibri" w:hAnsi="Calibri" w:cs="Calibri"/>
          <w:sz w:val="22"/>
          <w:szCs w:val="22"/>
        </w:rPr>
        <w:t>nel</w:t>
      </w:r>
      <w:r w:rsidRPr="001243B8">
        <w:rPr>
          <w:rFonts w:ascii="Calibri" w:hAnsi="Calibri" w:cs="Calibri"/>
          <w:sz w:val="22"/>
          <w:szCs w:val="22"/>
        </w:rPr>
        <w:t xml:space="preserve">le rinnovabili, anche </w:t>
      </w:r>
      <w:r w:rsidR="00BA22F3">
        <w:rPr>
          <w:rFonts w:ascii="Calibri" w:hAnsi="Calibri" w:cs="Calibri"/>
          <w:sz w:val="22"/>
          <w:szCs w:val="22"/>
        </w:rPr>
        <w:t xml:space="preserve">per </w:t>
      </w:r>
      <w:r w:rsidRPr="001243B8">
        <w:rPr>
          <w:rFonts w:ascii="Calibri" w:hAnsi="Calibri" w:cs="Calibri"/>
          <w:sz w:val="22"/>
          <w:szCs w:val="22"/>
        </w:rPr>
        <w:t xml:space="preserve">i data center </w:t>
      </w:r>
      <w:r>
        <w:rPr>
          <w:rFonts w:ascii="Calibri" w:hAnsi="Calibri" w:cs="Calibri"/>
          <w:sz w:val="22"/>
          <w:szCs w:val="22"/>
        </w:rPr>
        <w:t xml:space="preserve">mancano </w:t>
      </w:r>
      <w:r w:rsidRPr="001243B8">
        <w:rPr>
          <w:rFonts w:ascii="Calibri" w:hAnsi="Calibri" w:cs="Calibri"/>
          <w:sz w:val="22"/>
          <w:szCs w:val="22"/>
        </w:rPr>
        <w:t xml:space="preserve">percorsi ad hoc </w:t>
      </w:r>
      <w:r>
        <w:rPr>
          <w:rFonts w:ascii="Calibri" w:hAnsi="Calibri" w:cs="Calibri"/>
          <w:sz w:val="22"/>
          <w:szCs w:val="22"/>
        </w:rPr>
        <w:t>per</w:t>
      </w:r>
      <w:r w:rsidRPr="001243B8">
        <w:rPr>
          <w:rFonts w:ascii="Calibri" w:hAnsi="Calibri" w:cs="Calibri"/>
          <w:sz w:val="22"/>
          <w:szCs w:val="22"/>
        </w:rPr>
        <w:t xml:space="preserve"> velocizzare le procedure di autorizzazione</w:t>
      </w:r>
      <w:r w:rsidR="00BA22F3">
        <w:rPr>
          <w:rFonts w:ascii="Calibri" w:hAnsi="Calibri" w:cs="Calibri"/>
          <w:sz w:val="22"/>
          <w:szCs w:val="22"/>
        </w:rPr>
        <w:t xml:space="preserve">, </w:t>
      </w:r>
      <w:r w:rsidR="00484BBD">
        <w:rPr>
          <w:rFonts w:ascii="Calibri" w:hAnsi="Calibri" w:cs="Calibri"/>
          <w:sz w:val="22"/>
          <w:szCs w:val="22"/>
        </w:rPr>
        <w:t>chiesto dagli operatori insieme al</w:t>
      </w:r>
      <w:r w:rsidR="00BA22F3">
        <w:rPr>
          <w:rFonts w:ascii="Calibri" w:hAnsi="Calibri" w:cs="Calibri"/>
          <w:sz w:val="22"/>
          <w:szCs w:val="22"/>
        </w:rPr>
        <w:t>l’introduzione di un codice ATECO s</w:t>
      </w:r>
      <w:r w:rsidR="00484BBD">
        <w:rPr>
          <w:rFonts w:ascii="Calibri" w:hAnsi="Calibri" w:cs="Calibri"/>
          <w:sz w:val="22"/>
          <w:szCs w:val="22"/>
        </w:rPr>
        <w:t>p</w:t>
      </w:r>
      <w:r w:rsidR="00BA22F3">
        <w:rPr>
          <w:rFonts w:ascii="Calibri" w:hAnsi="Calibri" w:cs="Calibri"/>
          <w:sz w:val="22"/>
          <w:szCs w:val="22"/>
        </w:rPr>
        <w:t>ecifico. Quanto all’allacciamento alla rete elettrica, l’analisi di città europee come Amsterdam, Dublino e Londra mostra come questa sia troppo satura per permettere a nuovi data center di connettersi, mentre in Italia non ci sono sostanziali criticità: fino a maggio 2023 sono state ricevute circa 4,2 GW di richieste di connessione per installare data center soprattutto al Nord</w:t>
      </w:r>
      <w:r w:rsidR="00BA22F3">
        <w:rPr>
          <w:rFonts w:ascii="Calibri" w:hAnsi="Calibri" w:cs="Calibri"/>
          <w:color w:val="000000" w:themeColor="text1"/>
          <w:spacing w:val="10"/>
          <w:sz w:val="22"/>
          <w:szCs w:val="22"/>
        </w:rPr>
        <w:t>.</w:t>
      </w:r>
    </w:p>
    <w:p w14:paraId="39920C47" w14:textId="6D53AC4A" w:rsidR="000523F9" w:rsidRDefault="00484BBD" w:rsidP="000523F9">
      <w:pPr>
        <w:spacing w:after="80"/>
        <w:jc w:val="both"/>
        <w:rPr>
          <w:rFonts w:ascii="Calibri" w:hAnsi="Calibri" w:cs="Calibri"/>
          <w:sz w:val="22"/>
          <w:szCs w:val="22"/>
        </w:rPr>
      </w:pPr>
      <w:r w:rsidRPr="00E0429E">
        <w:rPr>
          <w:rFonts w:ascii="Calibri" w:hAnsi="Calibri" w:cs="Calibri"/>
          <w:noProof/>
          <w:sz w:val="22"/>
          <w:szCs w:val="22"/>
        </w:rPr>
        <w:drawing>
          <wp:anchor distT="0" distB="0" distL="114300" distR="114300" simplePos="0" relativeHeight="251685888" behindDoc="0" locked="0" layoutInCell="1" allowOverlap="1" wp14:anchorId="2D35F9B7" wp14:editId="05AB1E9A">
            <wp:simplePos x="0" y="0"/>
            <wp:positionH relativeFrom="margin">
              <wp:align>left</wp:align>
            </wp:positionH>
            <wp:positionV relativeFrom="paragraph">
              <wp:posOffset>105682</wp:posOffset>
            </wp:positionV>
            <wp:extent cx="4734754" cy="1808816"/>
            <wp:effectExtent l="0" t="0" r="0" b="1270"/>
            <wp:wrapSquare wrapText="bothSides"/>
            <wp:docPr id="761797447" name="Picture 761797447" descr="Immagine che contiene testo, Carattere,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97447" name="Immagine 5" descr="Immagine che contiene testo, Carattere, diagramma, schermata&#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34754" cy="1808816"/>
                    </a:xfrm>
                    <a:prstGeom prst="rect">
                      <a:avLst/>
                    </a:prstGeom>
                  </pic:spPr>
                </pic:pic>
              </a:graphicData>
            </a:graphic>
          </wp:anchor>
        </w:drawing>
      </w:r>
      <w:r w:rsidR="000523F9" w:rsidRPr="00E0429E">
        <w:rPr>
          <w:rFonts w:ascii="Calibri" w:hAnsi="Calibri" w:cs="Calibri"/>
          <w:sz w:val="22"/>
          <w:szCs w:val="22"/>
        </w:rPr>
        <w:t xml:space="preserve"> </w:t>
      </w:r>
    </w:p>
    <w:p w14:paraId="65726E56" w14:textId="7E373498" w:rsidR="00F65D5A" w:rsidRPr="00E0429E" w:rsidRDefault="00046A3D" w:rsidP="00F65D5A">
      <w:pPr>
        <w:pStyle w:val="Didascalia"/>
        <w:spacing w:after="80"/>
        <w:rPr>
          <w:rFonts w:ascii="Calibri" w:hAnsi="Calibri" w:cs="Calibri"/>
          <w:b/>
          <w:bCs/>
          <w:color w:val="000000" w:themeColor="text1"/>
          <w:sz w:val="22"/>
          <w:szCs w:val="22"/>
        </w:rPr>
      </w:pPr>
      <w:r w:rsidRPr="00E0429E">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109F1E1F" wp14:editId="3D0C1943">
                <wp:simplePos x="0" y="0"/>
                <wp:positionH relativeFrom="column">
                  <wp:posOffset>6176554</wp:posOffset>
                </wp:positionH>
                <wp:positionV relativeFrom="paragraph">
                  <wp:posOffset>67219</wp:posOffset>
                </wp:positionV>
                <wp:extent cx="0" cy="5443"/>
                <wp:effectExtent l="0" t="0" r="38100" b="33020"/>
                <wp:wrapNone/>
                <wp:docPr id="39" name="Straight Connector 39"/>
                <wp:cNvGraphicFramePr/>
                <a:graphic xmlns:a="http://schemas.openxmlformats.org/drawingml/2006/main">
                  <a:graphicData uri="http://schemas.microsoft.com/office/word/2010/wordprocessingShape">
                    <wps:wsp>
                      <wps:cNvCnPr/>
                      <wps:spPr>
                        <a:xfrm>
                          <a:off x="0" y="0"/>
                          <a:ext cx="0"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7AE8F" id="Straight Connector 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35pt,5.3pt" to="486.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" strokecolor="#4579b8 [3044]"/>
            </w:pict>
          </mc:Fallback>
        </mc:AlternateContent>
      </w:r>
      <w:r w:rsidR="00F65D5A" w:rsidRPr="00E0429E">
        <w:rPr>
          <w:rFonts w:ascii="Calibri" w:hAnsi="Calibri" w:cs="Calibri"/>
          <w:noProof/>
          <w:spacing w:val="-7"/>
          <w:sz w:val="22"/>
          <w:szCs w:val="22"/>
        </w:rPr>
        <mc:AlternateContent>
          <mc:Choice Requires="wps">
            <w:drawing>
              <wp:anchor distT="0" distB="0" distL="114300" distR="114300" simplePos="0" relativeHeight="251681792" behindDoc="0" locked="0" layoutInCell="1" allowOverlap="1" wp14:anchorId="15634E02" wp14:editId="1DB4693D">
                <wp:simplePos x="0" y="0"/>
                <wp:positionH relativeFrom="column">
                  <wp:posOffset>6415314</wp:posOffset>
                </wp:positionH>
                <wp:positionV relativeFrom="paragraph">
                  <wp:posOffset>24765</wp:posOffset>
                </wp:positionV>
                <wp:extent cx="0"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789E9" id="Straight Connector 3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15pt,1.95pt" to="50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" strokecolor="#4579b8 [3044]"/>
            </w:pict>
          </mc:Fallback>
        </mc:AlternateContent>
      </w:r>
    </w:p>
    <w:p w14:paraId="71FFBA92" w14:textId="77777777" w:rsidR="00F65D5A" w:rsidRDefault="00F65D5A" w:rsidP="00F65D5A">
      <w:pPr>
        <w:pStyle w:val="Didascalia"/>
        <w:spacing w:after="80"/>
        <w:rPr>
          <w:rFonts w:ascii="Calibri" w:hAnsi="Calibri" w:cs="Calibri"/>
          <w:b/>
          <w:bCs/>
          <w:color w:val="000000" w:themeColor="text1"/>
          <w:sz w:val="22"/>
          <w:szCs w:val="22"/>
        </w:rPr>
      </w:pPr>
    </w:p>
    <w:p w14:paraId="7AA5715D" w14:textId="77777777" w:rsidR="00F65D5A" w:rsidRDefault="00F65D5A" w:rsidP="00F65D5A">
      <w:pPr>
        <w:pStyle w:val="Didascalia"/>
        <w:spacing w:after="80"/>
        <w:rPr>
          <w:rFonts w:ascii="Calibri" w:hAnsi="Calibri" w:cs="Calibri"/>
          <w:b/>
          <w:bCs/>
          <w:color w:val="000000" w:themeColor="text1"/>
          <w:sz w:val="22"/>
          <w:szCs w:val="22"/>
        </w:rPr>
      </w:pPr>
    </w:p>
    <w:p w14:paraId="32F23889" w14:textId="77777777" w:rsidR="00046A3D" w:rsidRDefault="00046A3D" w:rsidP="00F65D5A">
      <w:pPr>
        <w:pStyle w:val="Didascalia"/>
        <w:spacing w:after="80"/>
        <w:rPr>
          <w:rFonts w:ascii="Calibri" w:hAnsi="Calibri" w:cs="Calibri"/>
          <w:color w:val="000000" w:themeColor="text1"/>
        </w:rPr>
      </w:pPr>
    </w:p>
    <w:p w14:paraId="0CEA3810" w14:textId="77777777" w:rsidR="00046A3D" w:rsidRDefault="00046A3D" w:rsidP="00F65D5A">
      <w:pPr>
        <w:pStyle w:val="Didascalia"/>
        <w:spacing w:after="80"/>
        <w:rPr>
          <w:rFonts w:ascii="Calibri" w:hAnsi="Calibri" w:cs="Calibri"/>
          <w:color w:val="000000" w:themeColor="text1"/>
        </w:rPr>
      </w:pPr>
    </w:p>
    <w:p w14:paraId="23C88C1F" w14:textId="77777777" w:rsidR="00046A3D" w:rsidRDefault="00046A3D" w:rsidP="00F65D5A">
      <w:pPr>
        <w:pStyle w:val="Didascalia"/>
        <w:spacing w:after="80"/>
        <w:rPr>
          <w:rFonts w:ascii="Calibri" w:hAnsi="Calibri" w:cs="Calibri"/>
          <w:color w:val="000000" w:themeColor="text1"/>
        </w:rPr>
      </w:pPr>
    </w:p>
    <w:p w14:paraId="0618F244" w14:textId="77777777" w:rsidR="00046A3D" w:rsidRDefault="00046A3D" w:rsidP="00F65D5A">
      <w:pPr>
        <w:pStyle w:val="Didascalia"/>
        <w:spacing w:after="80"/>
        <w:rPr>
          <w:rFonts w:ascii="Calibri" w:hAnsi="Calibri" w:cs="Calibri"/>
          <w:color w:val="000000" w:themeColor="text1"/>
        </w:rPr>
      </w:pPr>
    </w:p>
    <w:p w14:paraId="1B805D73" w14:textId="77777777" w:rsidR="00046A3D" w:rsidRDefault="00046A3D" w:rsidP="00F65D5A">
      <w:pPr>
        <w:pStyle w:val="Didascalia"/>
        <w:spacing w:after="80"/>
        <w:rPr>
          <w:rFonts w:ascii="Calibri" w:hAnsi="Calibri" w:cs="Calibri"/>
          <w:color w:val="000000" w:themeColor="text1"/>
        </w:rPr>
      </w:pPr>
    </w:p>
    <w:p w14:paraId="2210AC41" w14:textId="77777777" w:rsidR="00484BBD" w:rsidRPr="00395CE8" w:rsidRDefault="00484BBD" w:rsidP="00395CE8"/>
    <w:p w14:paraId="37FB0694" w14:textId="1144F3C5" w:rsidR="00F65D5A" w:rsidRPr="0028021D" w:rsidRDefault="00F65D5A" w:rsidP="00F65D5A">
      <w:pPr>
        <w:pStyle w:val="Didascalia"/>
        <w:spacing w:after="80"/>
        <w:rPr>
          <w:rFonts w:ascii="Calibri" w:hAnsi="Calibri" w:cs="Calibri"/>
          <w:b/>
          <w:bCs/>
          <w:color w:val="000000" w:themeColor="text1"/>
        </w:rPr>
      </w:pPr>
      <w:r w:rsidRPr="0028021D">
        <w:rPr>
          <w:rFonts w:ascii="Calibri" w:hAnsi="Calibri" w:cs="Calibri"/>
          <w:color w:val="000000" w:themeColor="text1"/>
        </w:rPr>
        <w:t>Distribuzione delle richieste di connessione dei data center alla rete elettrica a livello nazionale (Fonte: Terna)</w:t>
      </w:r>
    </w:p>
    <w:p w14:paraId="68CCC3C1" w14:textId="77777777" w:rsidR="00F65D5A" w:rsidRDefault="00F65D5A" w:rsidP="00F65D5A">
      <w:pPr>
        <w:pStyle w:val="Didascalia"/>
        <w:spacing w:after="80"/>
        <w:jc w:val="both"/>
        <w:rPr>
          <w:rFonts w:ascii="Calibri" w:hAnsi="Calibri" w:cs="Calibri"/>
          <w:b/>
          <w:bCs/>
          <w:color w:val="auto"/>
          <w:sz w:val="22"/>
          <w:szCs w:val="22"/>
        </w:rPr>
      </w:pPr>
    </w:p>
    <w:p w14:paraId="73AD1DDF" w14:textId="77777777" w:rsidR="00964D8F" w:rsidRPr="00981E69" w:rsidRDefault="00964D8F" w:rsidP="00981E69"/>
    <w:p w14:paraId="742827F5" w14:textId="4410875B" w:rsidR="008E28DB" w:rsidRPr="00F65D5A" w:rsidRDefault="00205C08" w:rsidP="008E28DB">
      <w:pPr>
        <w:jc w:val="both"/>
        <w:rPr>
          <w:rFonts w:asciiTheme="majorHAnsi" w:hAnsiTheme="majorHAnsi" w:cstheme="majorHAnsi"/>
          <w:b/>
          <w:bCs/>
          <w:sz w:val="18"/>
          <w:szCs w:val="18"/>
        </w:rPr>
      </w:pPr>
      <w:r w:rsidRPr="00F65D5A">
        <w:rPr>
          <w:rFonts w:asciiTheme="majorHAnsi" w:hAnsiTheme="majorHAnsi" w:cstheme="majorHAnsi"/>
          <w:b/>
          <w:bCs/>
          <w:sz w:val="18"/>
          <w:szCs w:val="18"/>
          <w:u w:val="single"/>
        </w:rPr>
        <w:t>P</w:t>
      </w:r>
      <w:r w:rsidR="008E33C5" w:rsidRPr="00F65D5A">
        <w:rPr>
          <w:rFonts w:asciiTheme="majorHAnsi" w:hAnsiTheme="majorHAnsi" w:cstheme="majorHAnsi"/>
          <w:b/>
          <w:bCs/>
          <w:sz w:val="18"/>
          <w:szCs w:val="18"/>
          <w:u w:val="single"/>
        </w:rPr>
        <w:t>er ulteriori informazioni alla stampa</w:t>
      </w:r>
      <w:r w:rsidR="00EC7D6B" w:rsidRPr="00F65D5A">
        <w:rPr>
          <w:rFonts w:asciiTheme="majorHAnsi" w:hAnsiTheme="majorHAnsi" w:cstheme="majorHAnsi"/>
          <w:b/>
          <w:bCs/>
          <w:sz w:val="18"/>
          <w:szCs w:val="18"/>
          <w:u w:val="single"/>
        </w:rPr>
        <w:t xml:space="preserve"> </w:t>
      </w:r>
      <w:r w:rsidR="00EC7D6B" w:rsidRPr="00F65D5A">
        <w:rPr>
          <w:rFonts w:asciiTheme="majorHAnsi" w:hAnsiTheme="majorHAnsi" w:cstheme="majorHAnsi"/>
          <w:b/>
          <w:bCs/>
          <w:sz w:val="18"/>
          <w:szCs w:val="18"/>
        </w:rPr>
        <w:t xml:space="preserve"> </w:t>
      </w:r>
    </w:p>
    <w:p w14:paraId="458596BB" w14:textId="6DE4868E" w:rsidR="00EE58F3" w:rsidRPr="00F65D5A" w:rsidRDefault="008E33C5" w:rsidP="00184408">
      <w:pPr>
        <w:jc w:val="both"/>
        <w:rPr>
          <w:rFonts w:asciiTheme="majorHAnsi" w:hAnsiTheme="majorHAnsi" w:cstheme="majorHAnsi"/>
          <w:sz w:val="22"/>
          <w:szCs w:val="22"/>
        </w:rPr>
      </w:pPr>
      <w:r w:rsidRPr="00F65D5A">
        <w:rPr>
          <w:rFonts w:asciiTheme="majorHAnsi" w:hAnsiTheme="majorHAnsi" w:cstheme="majorHAnsi"/>
          <w:sz w:val="18"/>
          <w:szCs w:val="18"/>
        </w:rPr>
        <w:t xml:space="preserve">Stefania Vicentini - d’I comunicazione </w:t>
      </w:r>
      <w:r w:rsidR="0099783D" w:rsidRPr="00F65D5A">
        <w:rPr>
          <w:rFonts w:asciiTheme="majorHAnsi" w:hAnsiTheme="majorHAnsi" w:cstheme="majorHAnsi"/>
          <w:sz w:val="18"/>
          <w:szCs w:val="18"/>
        </w:rPr>
        <w:t xml:space="preserve">- </w:t>
      </w:r>
      <w:r w:rsidRPr="00F65D5A">
        <w:rPr>
          <w:rFonts w:asciiTheme="majorHAnsi" w:hAnsiTheme="majorHAnsi" w:cstheme="majorHAnsi"/>
          <w:sz w:val="18"/>
          <w:szCs w:val="18"/>
        </w:rPr>
        <w:t xml:space="preserve">335 5613180 </w:t>
      </w:r>
      <w:r w:rsidR="0099783D" w:rsidRPr="00F65D5A">
        <w:rPr>
          <w:rFonts w:asciiTheme="majorHAnsi" w:hAnsiTheme="majorHAnsi" w:cstheme="majorHAnsi"/>
          <w:sz w:val="18"/>
          <w:szCs w:val="18"/>
        </w:rPr>
        <w:t xml:space="preserve">- </w:t>
      </w:r>
      <w:r w:rsidRPr="00F65D5A">
        <w:rPr>
          <w:rFonts w:asciiTheme="majorHAnsi" w:hAnsiTheme="majorHAnsi" w:cstheme="majorHAnsi"/>
          <w:sz w:val="18"/>
          <w:szCs w:val="18"/>
        </w:rPr>
        <w:t>sv@dicomunicazione.it</w:t>
      </w:r>
      <w:r w:rsidR="000C0842" w:rsidRPr="00F65D5A">
        <w:rPr>
          <w:rFonts w:asciiTheme="majorHAnsi" w:hAnsiTheme="majorHAnsi" w:cstheme="majorHAnsi"/>
          <w:sz w:val="18"/>
          <w:szCs w:val="18"/>
        </w:rPr>
        <w:t xml:space="preserve"> </w:t>
      </w:r>
    </w:p>
    <w:sectPr w:rsidR="00EE58F3" w:rsidRPr="00F65D5A" w:rsidSect="008A32CD">
      <w:headerReference w:type="even" r:id="rId17"/>
      <w:headerReference w:type="default" r:id="rId18"/>
      <w:footerReference w:type="default" r:id="rId19"/>
      <w:headerReference w:type="first" r:id="rId2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4C73" w14:textId="77777777" w:rsidR="008A32CD" w:rsidRDefault="008A32CD" w:rsidP="003D20FF">
      <w:r>
        <w:separator/>
      </w:r>
    </w:p>
  </w:endnote>
  <w:endnote w:type="continuationSeparator" w:id="0">
    <w:p w14:paraId="3387E1FC" w14:textId="77777777" w:rsidR="008A32CD" w:rsidRDefault="008A32CD" w:rsidP="003D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8158" w14:textId="77777777" w:rsidR="003D20FF" w:rsidRDefault="00E278C9">
    <w:pPr>
      <w:pStyle w:val="Pidipagina"/>
    </w:pPr>
    <w:r>
      <w:rPr>
        <w:noProof/>
      </w:rPr>
      <w:drawing>
        <wp:anchor distT="0" distB="0" distL="114300" distR="114300" simplePos="0" relativeHeight="251662336" behindDoc="0" locked="0" layoutInCell="1" allowOverlap="1" wp14:anchorId="53964F35" wp14:editId="48697FAB">
          <wp:simplePos x="0" y="0"/>
          <wp:positionH relativeFrom="margin">
            <wp:posOffset>-485775</wp:posOffset>
          </wp:positionH>
          <wp:positionV relativeFrom="margin">
            <wp:posOffset>9276715</wp:posOffset>
          </wp:positionV>
          <wp:extent cx="7087235" cy="205740"/>
          <wp:effectExtent l="0" t="0" r="0" b="0"/>
          <wp:wrapSquare wrapText="bothSides"/>
          <wp:docPr id="5" name="Immagine 5" descr="../Desktop/carta%20intestata%20s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carta%20intestata%20s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7235" cy="205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2149" w14:textId="77777777" w:rsidR="008A32CD" w:rsidRDefault="008A32CD" w:rsidP="003D20FF">
      <w:r>
        <w:separator/>
      </w:r>
    </w:p>
  </w:footnote>
  <w:footnote w:type="continuationSeparator" w:id="0">
    <w:p w14:paraId="0EEADBA3" w14:textId="77777777" w:rsidR="008A32CD" w:rsidRDefault="008A32CD" w:rsidP="003D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2ACB" w14:textId="77777777" w:rsidR="003D20FF" w:rsidRDefault="00000000">
    <w:pPr>
      <w:pStyle w:val="Intestazione"/>
    </w:pPr>
    <w:r>
      <w:rPr>
        <w:noProof/>
      </w:rPr>
      <w:pict w14:anchorId="5DEB3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mip-carta-lette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8D14" w14:textId="77777777" w:rsidR="003D20FF" w:rsidRDefault="00E278C9">
    <w:pPr>
      <w:pStyle w:val="Intestazione"/>
    </w:pPr>
    <w:r>
      <w:rPr>
        <w:noProof/>
      </w:rPr>
      <w:drawing>
        <wp:anchor distT="0" distB="0" distL="114300" distR="114300" simplePos="0" relativeHeight="251661312" behindDoc="0" locked="0" layoutInCell="1" allowOverlap="0" wp14:anchorId="23CE7777" wp14:editId="42C9D251">
          <wp:simplePos x="0" y="0"/>
          <wp:positionH relativeFrom="column">
            <wp:posOffset>-438150</wp:posOffset>
          </wp:positionH>
          <wp:positionV relativeFrom="page">
            <wp:posOffset>236220</wp:posOffset>
          </wp:positionV>
          <wp:extent cx="1630680" cy="594995"/>
          <wp:effectExtent l="0" t="0" r="7620" b="0"/>
          <wp:wrapSquare wrapText="bothSides"/>
          <wp:docPr id="4" name="Immagine 4" descr="../Desktop/carta%20intestata%20s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carta%20intestata%20som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5949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05A5" w14:textId="77777777" w:rsidR="003D20FF" w:rsidRDefault="00000000">
    <w:pPr>
      <w:pStyle w:val="Intestazione"/>
    </w:pPr>
    <w:r>
      <w:rPr>
        <w:noProof/>
      </w:rPr>
      <w:pict w14:anchorId="12538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mip-carta-lette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87"/>
        </w:tabs>
        <w:ind w:left="1287" w:hanging="360"/>
      </w:pPr>
      <w:rPr>
        <w:rFonts w:ascii="Symbol" w:hAnsi="Symbol"/>
      </w:rPr>
    </w:lvl>
  </w:abstractNum>
  <w:abstractNum w:abstractNumId="1" w15:restartNumberingAfterBreak="0">
    <w:nsid w:val="09EA7991"/>
    <w:multiLevelType w:val="hybridMultilevel"/>
    <w:tmpl w:val="EC669FF8"/>
    <w:lvl w:ilvl="0" w:tplc="5C3A802C">
      <w:numFmt w:val="bullet"/>
      <w:lvlText w:val="■"/>
      <w:lvlJc w:val="left"/>
      <w:pPr>
        <w:ind w:left="106" w:hanging="107"/>
      </w:pPr>
      <w:rPr>
        <w:rFonts w:hint="default"/>
        <w:w w:val="108"/>
        <w:lang w:val="it-IT" w:eastAsia="en-US" w:bidi="ar-SA"/>
      </w:rPr>
    </w:lvl>
    <w:lvl w:ilvl="1" w:tplc="8E1E9CA6">
      <w:numFmt w:val="bullet"/>
      <w:lvlText w:val="•"/>
      <w:lvlJc w:val="left"/>
      <w:pPr>
        <w:ind w:left="197" w:hanging="107"/>
      </w:pPr>
      <w:rPr>
        <w:rFonts w:hint="default"/>
        <w:lang w:val="it-IT" w:eastAsia="en-US" w:bidi="ar-SA"/>
      </w:rPr>
    </w:lvl>
    <w:lvl w:ilvl="2" w:tplc="23B8A04A">
      <w:numFmt w:val="bullet"/>
      <w:lvlText w:val="•"/>
      <w:lvlJc w:val="left"/>
      <w:pPr>
        <w:ind w:left="295" w:hanging="107"/>
      </w:pPr>
      <w:rPr>
        <w:rFonts w:hint="default"/>
        <w:lang w:val="it-IT" w:eastAsia="en-US" w:bidi="ar-SA"/>
      </w:rPr>
    </w:lvl>
    <w:lvl w:ilvl="3" w:tplc="D76C0480">
      <w:numFmt w:val="bullet"/>
      <w:lvlText w:val="•"/>
      <w:lvlJc w:val="left"/>
      <w:pPr>
        <w:ind w:left="392" w:hanging="107"/>
      </w:pPr>
      <w:rPr>
        <w:rFonts w:hint="default"/>
        <w:lang w:val="it-IT" w:eastAsia="en-US" w:bidi="ar-SA"/>
      </w:rPr>
    </w:lvl>
    <w:lvl w:ilvl="4" w:tplc="1FEA9B0C">
      <w:numFmt w:val="bullet"/>
      <w:lvlText w:val="•"/>
      <w:lvlJc w:val="left"/>
      <w:pPr>
        <w:ind w:left="490" w:hanging="107"/>
      </w:pPr>
      <w:rPr>
        <w:rFonts w:hint="default"/>
        <w:lang w:val="it-IT" w:eastAsia="en-US" w:bidi="ar-SA"/>
      </w:rPr>
    </w:lvl>
    <w:lvl w:ilvl="5" w:tplc="B8C270D4">
      <w:numFmt w:val="bullet"/>
      <w:lvlText w:val="•"/>
      <w:lvlJc w:val="left"/>
      <w:pPr>
        <w:ind w:left="587" w:hanging="107"/>
      </w:pPr>
      <w:rPr>
        <w:rFonts w:hint="default"/>
        <w:lang w:val="it-IT" w:eastAsia="en-US" w:bidi="ar-SA"/>
      </w:rPr>
    </w:lvl>
    <w:lvl w:ilvl="6" w:tplc="FD625BBA">
      <w:numFmt w:val="bullet"/>
      <w:lvlText w:val="•"/>
      <w:lvlJc w:val="left"/>
      <w:pPr>
        <w:ind w:left="685" w:hanging="107"/>
      </w:pPr>
      <w:rPr>
        <w:rFonts w:hint="default"/>
        <w:lang w:val="it-IT" w:eastAsia="en-US" w:bidi="ar-SA"/>
      </w:rPr>
    </w:lvl>
    <w:lvl w:ilvl="7" w:tplc="64B6F51E">
      <w:numFmt w:val="bullet"/>
      <w:lvlText w:val="•"/>
      <w:lvlJc w:val="left"/>
      <w:pPr>
        <w:ind w:left="783" w:hanging="107"/>
      </w:pPr>
      <w:rPr>
        <w:rFonts w:hint="default"/>
        <w:lang w:val="it-IT" w:eastAsia="en-US" w:bidi="ar-SA"/>
      </w:rPr>
    </w:lvl>
    <w:lvl w:ilvl="8" w:tplc="2CD8B234">
      <w:numFmt w:val="bullet"/>
      <w:lvlText w:val="•"/>
      <w:lvlJc w:val="left"/>
      <w:pPr>
        <w:ind w:left="880" w:hanging="107"/>
      </w:pPr>
      <w:rPr>
        <w:rFonts w:hint="default"/>
        <w:lang w:val="it-IT" w:eastAsia="en-US" w:bidi="ar-SA"/>
      </w:rPr>
    </w:lvl>
  </w:abstractNum>
  <w:abstractNum w:abstractNumId="2" w15:restartNumberingAfterBreak="0">
    <w:nsid w:val="21014D80"/>
    <w:multiLevelType w:val="hybridMultilevel"/>
    <w:tmpl w:val="D760249A"/>
    <w:lvl w:ilvl="0" w:tplc="97668A10">
      <w:numFmt w:val="bullet"/>
      <w:lvlText w:val="■"/>
      <w:lvlJc w:val="left"/>
      <w:pPr>
        <w:ind w:left="106" w:hanging="107"/>
      </w:pPr>
      <w:rPr>
        <w:rFonts w:ascii="Segoe UI Symbol" w:eastAsia="Segoe UI Symbol" w:hAnsi="Segoe UI Symbol" w:cs="Segoe UI Symbol" w:hint="default"/>
        <w:w w:val="108"/>
        <w:sz w:val="9"/>
        <w:szCs w:val="9"/>
        <w:lang w:val="it-IT" w:eastAsia="en-US" w:bidi="ar-SA"/>
      </w:rPr>
    </w:lvl>
    <w:lvl w:ilvl="1" w:tplc="F7B6C7C6">
      <w:numFmt w:val="bullet"/>
      <w:lvlText w:val="•"/>
      <w:lvlJc w:val="left"/>
      <w:pPr>
        <w:ind w:left="149" w:hanging="107"/>
      </w:pPr>
      <w:rPr>
        <w:rFonts w:hint="default"/>
        <w:lang w:val="it-IT" w:eastAsia="en-US" w:bidi="ar-SA"/>
      </w:rPr>
    </w:lvl>
    <w:lvl w:ilvl="2" w:tplc="75BAE448">
      <w:numFmt w:val="bullet"/>
      <w:lvlText w:val="•"/>
      <w:lvlJc w:val="left"/>
      <w:pPr>
        <w:ind w:left="198" w:hanging="107"/>
      </w:pPr>
      <w:rPr>
        <w:rFonts w:hint="default"/>
        <w:lang w:val="it-IT" w:eastAsia="en-US" w:bidi="ar-SA"/>
      </w:rPr>
    </w:lvl>
    <w:lvl w:ilvl="3" w:tplc="45D68A5A">
      <w:numFmt w:val="bullet"/>
      <w:lvlText w:val="•"/>
      <w:lvlJc w:val="left"/>
      <w:pPr>
        <w:ind w:left="248" w:hanging="107"/>
      </w:pPr>
      <w:rPr>
        <w:rFonts w:hint="default"/>
        <w:lang w:val="it-IT" w:eastAsia="en-US" w:bidi="ar-SA"/>
      </w:rPr>
    </w:lvl>
    <w:lvl w:ilvl="4" w:tplc="0CC2EF1C">
      <w:numFmt w:val="bullet"/>
      <w:lvlText w:val="•"/>
      <w:lvlJc w:val="left"/>
      <w:pPr>
        <w:ind w:left="297" w:hanging="107"/>
      </w:pPr>
      <w:rPr>
        <w:rFonts w:hint="default"/>
        <w:lang w:val="it-IT" w:eastAsia="en-US" w:bidi="ar-SA"/>
      </w:rPr>
    </w:lvl>
    <w:lvl w:ilvl="5" w:tplc="AEDCB210">
      <w:numFmt w:val="bullet"/>
      <w:lvlText w:val="•"/>
      <w:lvlJc w:val="left"/>
      <w:pPr>
        <w:ind w:left="347" w:hanging="107"/>
      </w:pPr>
      <w:rPr>
        <w:rFonts w:hint="default"/>
        <w:lang w:val="it-IT" w:eastAsia="en-US" w:bidi="ar-SA"/>
      </w:rPr>
    </w:lvl>
    <w:lvl w:ilvl="6" w:tplc="AFF24758">
      <w:numFmt w:val="bullet"/>
      <w:lvlText w:val="•"/>
      <w:lvlJc w:val="left"/>
      <w:pPr>
        <w:ind w:left="396" w:hanging="107"/>
      </w:pPr>
      <w:rPr>
        <w:rFonts w:hint="default"/>
        <w:lang w:val="it-IT" w:eastAsia="en-US" w:bidi="ar-SA"/>
      </w:rPr>
    </w:lvl>
    <w:lvl w:ilvl="7" w:tplc="8E725326">
      <w:numFmt w:val="bullet"/>
      <w:lvlText w:val="•"/>
      <w:lvlJc w:val="left"/>
      <w:pPr>
        <w:ind w:left="445" w:hanging="107"/>
      </w:pPr>
      <w:rPr>
        <w:rFonts w:hint="default"/>
        <w:lang w:val="it-IT" w:eastAsia="en-US" w:bidi="ar-SA"/>
      </w:rPr>
    </w:lvl>
    <w:lvl w:ilvl="8" w:tplc="4F02617A">
      <w:numFmt w:val="bullet"/>
      <w:lvlText w:val="•"/>
      <w:lvlJc w:val="left"/>
      <w:pPr>
        <w:ind w:left="495" w:hanging="107"/>
      </w:pPr>
      <w:rPr>
        <w:rFonts w:hint="default"/>
        <w:lang w:val="it-IT" w:eastAsia="en-US" w:bidi="ar-SA"/>
      </w:rPr>
    </w:lvl>
  </w:abstractNum>
  <w:num w:numId="1" w16cid:durableId="482889125">
    <w:abstractNumId w:val="0"/>
  </w:num>
  <w:num w:numId="2" w16cid:durableId="1859658074">
    <w:abstractNumId w:val="1"/>
  </w:num>
  <w:num w:numId="3" w16cid:durableId="86648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FF"/>
    <w:rsid w:val="00004045"/>
    <w:rsid w:val="000130E0"/>
    <w:rsid w:val="000140F7"/>
    <w:rsid w:val="0003106A"/>
    <w:rsid w:val="0003547A"/>
    <w:rsid w:val="000363A4"/>
    <w:rsid w:val="00046A3D"/>
    <w:rsid w:val="000523F9"/>
    <w:rsid w:val="00061869"/>
    <w:rsid w:val="00062B96"/>
    <w:rsid w:val="000722D1"/>
    <w:rsid w:val="00077EA7"/>
    <w:rsid w:val="00081A09"/>
    <w:rsid w:val="00082FC9"/>
    <w:rsid w:val="0008328A"/>
    <w:rsid w:val="000911FC"/>
    <w:rsid w:val="00092782"/>
    <w:rsid w:val="000A6315"/>
    <w:rsid w:val="000C0842"/>
    <w:rsid w:val="000C456D"/>
    <w:rsid w:val="000E037E"/>
    <w:rsid w:val="000E50DA"/>
    <w:rsid w:val="000E70DB"/>
    <w:rsid w:val="000F313D"/>
    <w:rsid w:val="000F37B2"/>
    <w:rsid w:val="000F61EA"/>
    <w:rsid w:val="00100A44"/>
    <w:rsid w:val="00107368"/>
    <w:rsid w:val="00113CBC"/>
    <w:rsid w:val="001243B8"/>
    <w:rsid w:val="00131B92"/>
    <w:rsid w:val="00132BE1"/>
    <w:rsid w:val="00140EE3"/>
    <w:rsid w:val="00146D57"/>
    <w:rsid w:val="0016081F"/>
    <w:rsid w:val="00166BEF"/>
    <w:rsid w:val="00171A40"/>
    <w:rsid w:val="001812DE"/>
    <w:rsid w:val="00184408"/>
    <w:rsid w:val="00196D38"/>
    <w:rsid w:val="001A237E"/>
    <w:rsid w:val="001A5BB3"/>
    <w:rsid w:val="001B0E26"/>
    <w:rsid w:val="001C43A0"/>
    <w:rsid w:val="001D4233"/>
    <w:rsid w:val="001E337A"/>
    <w:rsid w:val="001E6BCF"/>
    <w:rsid w:val="001F2598"/>
    <w:rsid w:val="0020233C"/>
    <w:rsid w:val="00205C08"/>
    <w:rsid w:val="00231041"/>
    <w:rsid w:val="002452A2"/>
    <w:rsid w:val="00251CDE"/>
    <w:rsid w:val="00251D6A"/>
    <w:rsid w:val="002569D9"/>
    <w:rsid w:val="00270D06"/>
    <w:rsid w:val="00282112"/>
    <w:rsid w:val="002907CB"/>
    <w:rsid w:val="00291FC1"/>
    <w:rsid w:val="00297B05"/>
    <w:rsid w:val="00297DB7"/>
    <w:rsid w:val="002A6D7E"/>
    <w:rsid w:val="002B159D"/>
    <w:rsid w:val="002B20C7"/>
    <w:rsid w:val="002B7A8E"/>
    <w:rsid w:val="002D15E7"/>
    <w:rsid w:val="002D3729"/>
    <w:rsid w:val="002E23EE"/>
    <w:rsid w:val="002E5F21"/>
    <w:rsid w:val="002F0C95"/>
    <w:rsid w:val="002F18DF"/>
    <w:rsid w:val="0030291C"/>
    <w:rsid w:val="00310B8F"/>
    <w:rsid w:val="003134B5"/>
    <w:rsid w:val="00322388"/>
    <w:rsid w:val="00323CC6"/>
    <w:rsid w:val="00326057"/>
    <w:rsid w:val="00330B20"/>
    <w:rsid w:val="00346A3B"/>
    <w:rsid w:val="00364420"/>
    <w:rsid w:val="00366486"/>
    <w:rsid w:val="00367D67"/>
    <w:rsid w:val="00377A84"/>
    <w:rsid w:val="00385974"/>
    <w:rsid w:val="00395CE8"/>
    <w:rsid w:val="00397C05"/>
    <w:rsid w:val="003A0406"/>
    <w:rsid w:val="003A0928"/>
    <w:rsid w:val="003A2DF6"/>
    <w:rsid w:val="003A3575"/>
    <w:rsid w:val="003A7729"/>
    <w:rsid w:val="003C0032"/>
    <w:rsid w:val="003C3F78"/>
    <w:rsid w:val="003D12C8"/>
    <w:rsid w:val="003D20FF"/>
    <w:rsid w:val="003E13AC"/>
    <w:rsid w:val="003E6399"/>
    <w:rsid w:val="003F2500"/>
    <w:rsid w:val="003F5565"/>
    <w:rsid w:val="003F71D1"/>
    <w:rsid w:val="00401674"/>
    <w:rsid w:val="00405586"/>
    <w:rsid w:val="00412315"/>
    <w:rsid w:val="00413839"/>
    <w:rsid w:val="0042077B"/>
    <w:rsid w:val="00421B85"/>
    <w:rsid w:val="0042615A"/>
    <w:rsid w:val="0042656E"/>
    <w:rsid w:val="0043160E"/>
    <w:rsid w:val="00434D37"/>
    <w:rsid w:val="00440494"/>
    <w:rsid w:val="00453E2C"/>
    <w:rsid w:val="004553AC"/>
    <w:rsid w:val="00460D48"/>
    <w:rsid w:val="00471AF8"/>
    <w:rsid w:val="00476C0F"/>
    <w:rsid w:val="00480D30"/>
    <w:rsid w:val="004812E6"/>
    <w:rsid w:val="0048459D"/>
    <w:rsid w:val="00484BBD"/>
    <w:rsid w:val="004A1CAB"/>
    <w:rsid w:val="004B4507"/>
    <w:rsid w:val="004D5CE2"/>
    <w:rsid w:val="004E037E"/>
    <w:rsid w:val="004E70CD"/>
    <w:rsid w:val="004E7E60"/>
    <w:rsid w:val="004F04BC"/>
    <w:rsid w:val="004F4362"/>
    <w:rsid w:val="004F50AE"/>
    <w:rsid w:val="0050467A"/>
    <w:rsid w:val="005152B8"/>
    <w:rsid w:val="005177E2"/>
    <w:rsid w:val="005218B5"/>
    <w:rsid w:val="00522024"/>
    <w:rsid w:val="00522630"/>
    <w:rsid w:val="00527BF7"/>
    <w:rsid w:val="00530617"/>
    <w:rsid w:val="00531183"/>
    <w:rsid w:val="00531EDF"/>
    <w:rsid w:val="00535420"/>
    <w:rsid w:val="00542A11"/>
    <w:rsid w:val="00545730"/>
    <w:rsid w:val="00550A91"/>
    <w:rsid w:val="0055598E"/>
    <w:rsid w:val="00556CFE"/>
    <w:rsid w:val="00566EB7"/>
    <w:rsid w:val="00575794"/>
    <w:rsid w:val="00590C8C"/>
    <w:rsid w:val="0059518C"/>
    <w:rsid w:val="005A2B4C"/>
    <w:rsid w:val="005A7AA4"/>
    <w:rsid w:val="005B3442"/>
    <w:rsid w:val="005B3F71"/>
    <w:rsid w:val="005B5472"/>
    <w:rsid w:val="005C2775"/>
    <w:rsid w:val="005C392A"/>
    <w:rsid w:val="005C7ADA"/>
    <w:rsid w:val="005D44E4"/>
    <w:rsid w:val="005E401A"/>
    <w:rsid w:val="005F363D"/>
    <w:rsid w:val="005F3A31"/>
    <w:rsid w:val="005F407C"/>
    <w:rsid w:val="00604242"/>
    <w:rsid w:val="00605686"/>
    <w:rsid w:val="0061501A"/>
    <w:rsid w:val="006161D9"/>
    <w:rsid w:val="00623C1F"/>
    <w:rsid w:val="006448F7"/>
    <w:rsid w:val="00651CC4"/>
    <w:rsid w:val="0065403C"/>
    <w:rsid w:val="006629F5"/>
    <w:rsid w:val="006760A3"/>
    <w:rsid w:val="006812D0"/>
    <w:rsid w:val="0068396B"/>
    <w:rsid w:val="00685582"/>
    <w:rsid w:val="00685B64"/>
    <w:rsid w:val="006870EA"/>
    <w:rsid w:val="00690E12"/>
    <w:rsid w:val="00691E85"/>
    <w:rsid w:val="006949D0"/>
    <w:rsid w:val="00695155"/>
    <w:rsid w:val="006C0DC8"/>
    <w:rsid w:val="006C2A8F"/>
    <w:rsid w:val="006D338B"/>
    <w:rsid w:val="006D69D7"/>
    <w:rsid w:val="006E01C3"/>
    <w:rsid w:val="006E05EA"/>
    <w:rsid w:val="006F312E"/>
    <w:rsid w:val="00703CAD"/>
    <w:rsid w:val="0071013B"/>
    <w:rsid w:val="007135EA"/>
    <w:rsid w:val="00713859"/>
    <w:rsid w:val="00715E74"/>
    <w:rsid w:val="007201A2"/>
    <w:rsid w:val="0073380E"/>
    <w:rsid w:val="00734321"/>
    <w:rsid w:val="00735914"/>
    <w:rsid w:val="00742A55"/>
    <w:rsid w:val="007443E9"/>
    <w:rsid w:val="007475AF"/>
    <w:rsid w:val="00752372"/>
    <w:rsid w:val="00763128"/>
    <w:rsid w:val="00763BD6"/>
    <w:rsid w:val="00771DE7"/>
    <w:rsid w:val="00773C9B"/>
    <w:rsid w:val="0077567C"/>
    <w:rsid w:val="00775ECD"/>
    <w:rsid w:val="00776462"/>
    <w:rsid w:val="007829D9"/>
    <w:rsid w:val="00783110"/>
    <w:rsid w:val="00791286"/>
    <w:rsid w:val="00792A84"/>
    <w:rsid w:val="0079489A"/>
    <w:rsid w:val="007A4349"/>
    <w:rsid w:val="007A5A2F"/>
    <w:rsid w:val="007B0A77"/>
    <w:rsid w:val="007B1038"/>
    <w:rsid w:val="007B11D4"/>
    <w:rsid w:val="007C285E"/>
    <w:rsid w:val="007C4EA4"/>
    <w:rsid w:val="007C7487"/>
    <w:rsid w:val="007D2838"/>
    <w:rsid w:val="007E190C"/>
    <w:rsid w:val="007F24E6"/>
    <w:rsid w:val="00804904"/>
    <w:rsid w:val="00806DFF"/>
    <w:rsid w:val="0081737D"/>
    <w:rsid w:val="00826386"/>
    <w:rsid w:val="00827226"/>
    <w:rsid w:val="00832628"/>
    <w:rsid w:val="0084320C"/>
    <w:rsid w:val="008441D6"/>
    <w:rsid w:val="0086140C"/>
    <w:rsid w:val="00862E3A"/>
    <w:rsid w:val="008644A1"/>
    <w:rsid w:val="008707C5"/>
    <w:rsid w:val="0087326D"/>
    <w:rsid w:val="00876AC4"/>
    <w:rsid w:val="0087756C"/>
    <w:rsid w:val="008802B1"/>
    <w:rsid w:val="00895F5E"/>
    <w:rsid w:val="008966A5"/>
    <w:rsid w:val="008A32CD"/>
    <w:rsid w:val="008C0AFE"/>
    <w:rsid w:val="008C2EEA"/>
    <w:rsid w:val="008D3134"/>
    <w:rsid w:val="008E1C49"/>
    <w:rsid w:val="008E28DB"/>
    <w:rsid w:val="008E33C5"/>
    <w:rsid w:val="008E4FEF"/>
    <w:rsid w:val="008E6D3C"/>
    <w:rsid w:val="008F5122"/>
    <w:rsid w:val="0090208A"/>
    <w:rsid w:val="0090385F"/>
    <w:rsid w:val="00905153"/>
    <w:rsid w:val="009134BC"/>
    <w:rsid w:val="00917515"/>
    <w:rsid w:val="00934DBB"/>
    <w:rsid w:val="00951625"/>
    <w:rsid w:val="009619A0"/>
    <w:rsid w:val="00964D8F"/>
    <w:rsid w:val="00981E69"/>
    <w:rsid w:val="00990FD8"/>
    <w:rsid w:val="00995A18"/>
    <w:rsid w:val="00996D08"/>
    <w:rsid w:val="0099783D"/>
    <w:rsid w:val="009A6860"/>
    <w:rsid w:val="009C0015"/>
    <w:rsid w:val="009C0340"/>
    <w:rsid w:val="009D2429"/>
    <w:rsid w:val="009D6A46"/>
    <w:rsid w:val="009D6CFE"/>
    <w:rsid w:val="009F2794"/>
    <w:rsid w:val="009F3463"/>
    <w:rsid w:val="009F7032"/>
    <w:rsid w:val="009F7AC0"/>
    <w:rsid w:val="00A02535"/>
    <w:rsid w:val="00A10FB2"/>
    <w:rsid w:val="00A2507D"/>
    <w:rsid w:val="00A25F18"/>
    <w:rsid w:val="00A27FAB"/>
    <w:rsid w:val="00A30E9D"/>
    <w:rsid w:val="00A351DD"/>
    <w:rsid w:val="00A62499"/>
    <w:rsid w:val="00A67E55"/>
    <w:rsid w:val="00A714A8"/>
    <w:rsid w:val="00A824CB"/>
    <w:rsid w:val="00AB1905"/>
    <w:rsid w:val="00AC52EF"/>
    <w:rsid w:val="00AC6DDE"/>
    <w:rsid w:val="00AF52A1"/>
    <w:rsid w:val="00B12AAC"/>
    <w:rsid w:val="00B20400"/>
    <w:rsid w:val="00B23021"/>
    <w:rsid w:val="00B277E7"/>
    <w:rsid w:val="00B27E99"/>
    <w:rsid w:val="00B27EDE"/>
    <w:rsid w:val="00B37C05"/>
    <w:rsid w:val="00B4285F"/>
    <w:rsid w:val="00B5418F"/>
    <w:rsid w:val="00B5694E"/>
    <w:rsid w:val="00B5796C"/>
    <w:rsid w:val="00B6335F"/>
    <w:rsid w:val="00B84067"/>
    <w:rsid w:val="00B91877"/>
    <w:rsid w:val="00B92636"/>
    <w:rsid w:val="00BA22F3"/>
    <w:rsid w:val="00BA7940"/>
    <w:rsid w:val="00BB06F1"/>
    <w:rsid w:val="00BB07F0"/>
    <w:rsid w:val="00BC3B8E"/>
    <w:rsid w:val="00BC6634"/>
    <w:rsid w:val="00BD006A"/>
    <w:rsid w:val="00BD4926"/>
    <w:rsid w:val="00BE4633"/>
    <w:rsid w:val="00BF23BD"/>
    <w:rsid w:val="00BF31F7"/>
    <w:rsid w:val="00BF4634"/>
    <w:rsid w:val="00BF681D"/>
    <w:rsid w:val="00C14994"/>
    <w:rsid w:val="00C22D29"/>
    <w:rsid w:val="00C24DE4"/>
    <w:rsid w:val="00C501DC"/>
    <w:rsid w:val="00C63C4F"/>
    <w:rsid w:val="00C66EA8"/>
    <w:rsid w:val="00C77C3E"/>
    <w:rsid w:val="00C954AB"/>
    <w:rsid w:val="00CB1145"/>
    <w:rsid w:val="00CB3EB5"/>
    <w:rsid w:val="00CB53A2"/>
    <w:rsid w:val="00CC5706"/>
    <w:rsid w:val="00CD5414"/>
    <w:rsid w:val="00CD736C"/>
    <w:rsid w:val="00CE2109"/>
    <w:rsid w:val="00D05543"/>
    <w:rsid w:val="00D07889"/>
    <w:rsid w:val="00D11675"/>
    <w:rsid w:val="00D154B0"/>
    <w:rsid w:val="00D21297"/>
    <w:rsid w:val="00D21A36"/>
    <w:rsid w:val="00D22CAA"/>
    <w:rsid w:val="00D250B9"/>
    <w:rsid w:val="00D26C02"/>
    <w:rsid w:val="00D309B7"/>
    <w:rsid w:val="00D31243"/>
    <w:rsid w:val="00D34011"/>
    <w:rsid w:val="00D3574F"/>
    <w:rsid w:val="00D404F2"/>
    <w:rsid w:val="00D44B0C"/>
    <w:rsid w:val="00D53A33"/>
    <w:rsid w:val="00D54B47"/>
    <w:rsid w:val="00D704B3"/>
    <w:rsid w:val="00D74327"/>
    <w:rsid w:val="00D77623"/>
    <w:rsid w:val="00D77630"/>
    <w:rsid w:val="00D906EE"/>
    <w:rsid w:val="00D9629C"/>
    <w:rsid w:val="00D96388"/>
    <w:rsid w:val="00DA6548"/>
    <w:rsid w:val="00DD00ED"/>
    <w:rsid w:val="00DE238E"/>
    <w:rsid w:val="00DE39AB"/>
    <w:rsid w:val="00E01424"/>
    <w:rsid w:val="00E06496"/>
    <w:rsid w:val="00E06CAC"/>
    <w:rsid w:val="00E10A35"/>
    <w:rsid w:val="00E23440"/>
    <w:rsid w:val="00E25693"/>
    <w:rsid w:val="00E278C9"/>
    <w:rsid w:val="00E33C92"/>
    <w:rsid w:val="00E45E57"/>
    <w:rsid w:val="00E530A3"/>
    <w:rsid w:val="00E6170C"/>
    <w:rsid w:val="00E65575"/>
    <w:rsid w:val="00E75502"/>
    <w:rsid w:val="00E77EF4"/>
    <w:rsid w:val="00E84210"/>
    <w:rsid w:val="00E977D4"/>
    <w:rsid w:val="00EA06AF"/>
    <w:rsid w:val="00EA7D64"/>
    <w:rsid w:val="00EB01BD"/>
    <w:rsid w:val="00EB0FE0"/>
    <w:rsid w:val="00EB36FB"/>
    <w:rsid w:val="00EB4398"/>
    <w:rsid w:val="00EB6101"/>
    <w:rsid w:val="00EB7C6A"/>
    <w:rsid w:val="00EC5D77"/>
    <w:rsid w:val="00EC6DB0"/>
    <w:rsid w:val="00EC7D6B"/>
    <w:rsid w:val="00ED0D73"/>
    <w:rsid w:val="00ED41A0"/>
    <w:rsid w:val="00ED47A5"/>
    <w:rsid w:val="00ED7517"/>
    <w:rsid w:val="00EE58F3"/>
    <w:rsid w:val="00EF2E68"/>
    <w:rsid w:val="00EF388E"/>
    <w:rsid w:val="00F05620"/>
    <w:rsid w:val="00F118B3"/>
    <w:rsid w:val="00F23BBE"/>
    <w:rsid w:val="00F2416A"/>
    <w:rsid w:val="00F27BA6"/>
    <w:rsid w:val="00F340BA"/>
    <w:rsid w:val="00F351D0"/>
    <w:rsid w:val="00F36FA2"/>
    <w:rsid w:val="00F370CB"/>
    <w:rsid w:val="00F50003"/>
    <w:rsid w:val="00F56CC7"/>
    <w:rsid w:val="00F63EEA"/>
    <w:rsid w:val="00F65D5A"/>
    <w:rsid w:val="00F82BEE"/>
    <w:rsid w:val="00F835F7"/>
    <w:rsid w:val="00F9068A"/>
    <w:rsid w:val="00F90775"/>
    <w:rsid w:val="00F945E5"/>
    <w:rsid w:val="00FC1664"/>
    <w:rsid w:val="00FC744E"/>
    <w:rsid w:val="00FF1D10"/>
    <w:rsid w:val="00FF5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50F8A"/>
  <w15:docId w15:val="{8AEFDC82-C832-400E-A105-43BF502F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1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20FF"/>
    <w:pPr>
      <w:tabs>
        <w:tab w:val="center" w:pos="4819"/>
        <w:tab w:val="right" w:pos="9638"/>
      </w:tabs>
    </w:pPr>
  </w:style>
  <w:style w:type="character" w:customStyle="1" w:styleId="IntestazioneCarattere">
    <w:name w:val="Intestazione Carattere"/>
    <w:basedOn w:val="Carpredefinitoparagrafo"/>
    <w:link w:val="Intestazione"/>
    <w:uiPriority w:val="99"/>
    <w:rsid w:val="003D20FF"/>
  </w:style>
  <w:style w:type="paragraph" w:styleId="Pidipagina">
    <w:name w:val="footer"/>
    <w:basedOn w:val="Normale"/>
    <w:link w:val="PidipaginaCarattere"/>
    <w:uiPriority w:val="99"/>
    <w:unhideWhenUsed/>
    <w:rsid w:val="003D20FF"/>
    <w:pPr>
      <w:tabs>
        <w:tab w:val="center" w:pos="4819"/>
        <w:tab w:val="right" w:pos="9638"/>
      </w:tabs>
    </w:pPr>
  </w:style>
  <w:style w:type="character" w:customStyle="1" w:styleId="PidipaginaCarattere">
    <w:name w:val="Piè di pagina Carattere"/>
    <w:basedOn w:val="Carpredefinitoparagrafo"/>
    <w:link w:val="Pidipagina"/>
    <w:uiPriority w:val="99"/>
    <w:rsid w:val="003D20FF"/>
  </w:style>
  <w:style w:type="character" w:styleId="Collegamentoipertestuale">
    <w:name w:val="Hyperlink"/>
    <w:basedOn w:val="Carpredefinitoparagrafo"/>
    <w:uiPriority w:val="99"/>
    <w:semiHidden/>
    <w:unhideWhenUsed/>
    <w:rsid w:val="00F2416A"/>
    <w:rPr>
      <w:color w:val="0000FF"/>
      <w:u w:val="single"/>
    </w:rPr>
  </w:style>
  <w:style w:type="character" w:styleId="Enfasigrassetto">
    <w:name w:val="Strong"/>
    <w:basedOn w:val="Carpredefinitoparagrafo"/>
    <w:uiPriority w:val="22"/>
    <w:qFormat/>
    <w:rsid w:val="00F2416A"/>
    <w:rPr>
      <w:b/>
      <w:bCs/>
    </w:rPr>
  </w:style>
  <w:style w:type="paragraph" w:styleId="Testofumetto">
    <w:name w:val="Balloon Text"/>
    <w:basedOn w:val="Normale"/>
    <w:link w:val="TestofumettoCarattere"/>
    <w:uiPriority w:val="99"/>
    <w:semiHidden/>
    <w:unhideWhenUsed/>
    <w:rsid w:val="006042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242"/>
    <w:rPr>
      <w:rFonts w:ascii="Tahoma" w:hAnsi="Tahoma" w:cs="Tahoma"/>
      <w:sz w:val="16"/>
      <w:szCs w:val="16"/>
    </w:rPr>
  </w:style>
  <w:style w:type="paragraph" w:customStyle="1" w:styleId="Default">
    <w:name w:val="Default"/>
    <w:rsid w:val="001E337A"/>
    <w:pPr>
      <w:autoSpaceDE w:val="0"/>
      <w:autoSpaceDN w:val="0"/>
      <w:adjustRightInd w:val="0"/>
    </w:pPr>
    <w:rPr>
      <w:rFonts w:ascii="Arial" w:eastAsiaTheme="minorHAnsi" w:hAnsi="Arial" w:cs="Arial"/>
      <w:color w:val="000000"/>
      <w:lang w:eastAsia="en-US"/>
    </w:rPr>
  </w:style>
  <w:style w:type="paragraph" w:customStyle="1" w:styleId="Pa3">
    <w:name w:val="Pa3"/>
    <w:basedOn w:val="Default"/>
    <w:next w:val="Default"/>
    <w:uiPriority w:val="99"/>
    <w:rsid w:val="001E337A"/>
    <w:pPr>
      <w:spacing w:line="221" w:lineRule="atLeast"/>
    </w:pPr>
    <w:rPr>
      <w:rFonts w:ascii="Avenir LT Std 35 Light" w:hAnsi="Avenir LT Std 35 Light" w:cstheme="minorBidi"/>
      <w:color w:val="auto"/>
    </w:rPr>
  </w:style>
  <w:style w:type="character" w:customStyle="1" w:styleId="A1">
    <w:name w:val="A1"/>
    <w:uiPriority w:val="99"/>
    <w:rsid w:val="001E337A"/>
    <w:rPr>
      <w:rFonts w:cs="Avenir LT Std 35 Light"/>
      <w:color w:val="000000"/>
      <w:sz w:val="21"/>
      <w:szCs w:val="21"/>
    </w:rPr>
  </w:style>
  <w:style w:type="paragraph" w:styleId="Corpotesto">
    <w:name w:val="Body Text"/>
    <w:basedOn w:val="Normale"/>
    <w:link w:val="CorpotestoCarattere"/>
    <w:uiPriority w:val="1"/>
    <w:qFormat/>
    <w:rsid w:val="005F3A31"/>
    <w:pPr>
      <w:widowControl w:val="0"/>
      <w:autoSpaceDE w:val="0"/>
      <w:autoSpaceDN w:val="0"/>
    </w:pPr>
    <w:rPr>
      <w:rFonts w:ascii="Arial" w:eastAsia="Arial" w:hAnsi="Arial" w:cs="Arial"/>
      <w:b/>
      <w:bCs/>
      <w:sz w:val="18"/>
      <w:szCs w:val="18"/>
      <w:lang w:eastAsia="en-US"/>
    </w:rPr>
  </w:style>
  <w:style w:type="character" w:customStyle="1" w:styleId="CorpotestoCarattere">
    <w:name w:val="Corpo testo Carattere"/>
    <w:basedOn w:val="Carpredefinitoparagrafo"/>
    <w:link w:val="Corpotesto"/>
    <w:uiPriority w:val="1"/>
    <w:rsid w:val="005F3A31"/>
    <w:rPr>
      <w:rFonts w:ascii="Arial" w:eastAsia="Arial" w:hAnsi="Arial" w:cs="Arial"/>
      <w:b/>
      <w:bCs/>
      <w:sz w:val="18"/>
      <w:szCs w:val="18"/>
      <w:lang w:eastAsia="en-US"/>
    </w:rPr>
  </w:style>
  <w:style w:type="paragraph" w:styleId="Revisione">
    <w:name w:val="Revision"/>
    <w:hidden/>
    <w:uiPriority w:val="99"/>
    <w:semiHidden/>
    <w:rsid w:val="000F313D"/>
  </w:style>
  <w:style w:type="paragraph" w:styleId="Didascalia">
    <w:name w:val="caption"/>
    <w:basedOn w:val="Normale"/>
    <w:next w:val="Normale"/>
    <w:uiPriority w:val="35"/>
    <w:unhideWhenUsed/>
    <w:qFormat/>
    <w:rsid w:val="0084320C"/>
    <w:pPr>
      <w:spacing w:after="200"/>
    </w:pPr>
    <w:rPr>
      <w:i/>
      <w:iCs/>
      <w:color w:val="1F497D" w:themeColor="text2"/>
      <w:sz w:val="18"/>
      <w:szCs w:val="18"/>
    </w:rPr>
  </w:style>
  <w:style w:type="character" w:styleId="Rimandocommento">
    <w:name w:val="annotation reference"/>
    <w:basedOn w:val="Carpredefinitoparagrafo"/>
    <w:uiPriority w:val="99"/>
    <w:semiHidden/>
    <w:unhideWhenUsed/>
    <w:rsid w:val="00776462"/>
    <w:rPr>
      <w:sz w:val="16"/>
      <w:szCs w:val="16"/>
    </w:rPr>
  </w:style>
  <w:style w:type="paragraph" w:styleId="Testocommento">
    <w:name w:val="annotation text"/>
    <w:basedOn w:val="Normale"/>
    <w:link w:val="TestocommentoCarattere"/>
    <w:uiPriority w:val="99"/>
    <w:unhideWhenUsed/>
    <w:rsid w:val="00776462"/>
    <w:rPr>
      <w:sz w:val="20"/>
      <w:szCs w:val="20"/>
    </w:rPr>
  </w:style>
  <w:style w:type="character" w:customStyle="1" w:styleId="TestocommentoCarattere">
    <w:name w:val="Testo commento Carattere"/>
    <w:basedOn w:val="Carpredefinitoparagrafo"/>
    <w:link w:val="Testocommento"/>
    <w:uiPriority w:val="99"/>
    <w:rsid w:val="00776462"/>
    <w:rPr>
      <w:sz w:val="20"/>
      <w:szCs w:val="20"/>
    </w:rPr>
  </w:style>
  <w:style w:type="paragraph" w:styleId="Soggettocommento">
    <w:name w:val="annotation subject"/>
    <w:basedOn w:val="Testocommento"/>
    <w:next w:val="Testocommento"/>
    <w:link w:val="SoggettocommentoCarattere"/>
    <w:uiPriority w:val="99"/>
    <w:semiHidden/>
    <w:unhideWhenUsed/>
    <w:rsid w:val="00776462"/>
    <w:rPr>
      <w:b/>
      <w:bCs/>
    </w:rPr>
  </w:style>
  <w:style w:type="character" w:customStyle="1" w:styleId="SoggettocommentoCarattere">
    <w:name w:val="Soggetto commento Carattere"/>
    <w:basedOn w:val="TestocommentoCarattere"/>
    <w:link w:val="Soggettocommento"/>
    <w:uiPriority w:val="99"/>
    <w:semiHidden/>
    <w:rsid w:val="00776462"/>
    <w:rPr>
      <w:b/>
      <w:bCs/>
      <w:sz w:val="20"/>
      <w:szCs w:val="20"/>
    </w:rPr>
  </w:style>
  <w:style w:type="paragraph" w:styleId="Titolo">
    <w:name w:val="Title"/>
    <w:next w:val="Normale"/>
    <w:link w:val="TitoloCarattere"/>
    <w:uiPriority w:val="10"/>
    <w:qFormat/>
    <w:rsid w:val="00895F5E"/>
    <w:pPr>
      <w:spacing w:after="160"/>
      <w:contextualSpacing/>
    </w:pPr>
    <w:rPr>
      <w:rFonts w:asciiTheme="majorHAnsi" w:eastAsiaTheme="majorEastAsia" w:hAnsiTheme="majorHAnsi" w:cstheme="majorBidi"/>
      <w:smallCaps/>
      <w:color w:val="17365D" w:themeColor="text2" w:themeShade="BF"/>
      <w:spacing w:val="5"/>
      <w:sz w:val="72"/>
      <w:szCs w:val="72"/>
      <w:lang w:eastAsia="en-US"/>
    </w:rPr>
  </w:style>
  <w:style w:type="character" w:customStyle="1" w:styleId="TitoloCarattere">
    <w:name w:val="Titolo Carattere"/>
    <w:basedOn w:val="Carpredefinitoparagrafo"/>
    <w:link w:val="Titolo"/>
    <w:uiPriority w:val="10"/>
    <w:rsid w:val="00895F5E"/>
    <w:rPr>
      <w:rFonts w:asciiTheme="majorHAnsi" w:eastAsiaTheme="majorEastAsia" w:hAnsiTheme="majorHAnsi" w:cstheme="majorBidi"/>
      <w:smallCaps/>
      <w:color w:val="17365D" w:themeColor="text2" w:themeShade="BF"/>
      <w:spacing w:val="5"/>
      <w:sz w:val="72"/>
      <w:szCs w:val="72"/>
      <w:lang w:eastAsia="en-US"/>
    </w:rPr>
  </w:style>
  <w:style w:type="paragraph" w:customStyle="1" w:styleId="pf0">
    <w:name w:val="pf0"/>
    <w:basedOn w:val="Normale"/>
    <w:rsid w:val="00AB1905"/>
    <w:pPr>
      <w:spacing w:before="100" w:beforeAutospacing="1" w:after="100" w:afterAutospacing="1"/>
    </w:pPr>
    <w:rPr>
      <w:rFonts w:ascii="Times New Roman" w:eastAsia="Times New Roman" w:hAnsi="Times New Roman" w:cs="Times New Roman"/>
    </w:rPr>
  </w:style>
  <w:style w:type="character" w:customStyle="1" w:styleId="cf01">
    <w:name w:val="cf01"/>
    <w:basedOn w:val="Carpredefinitoparagrafo"/>
    <w:rsid w:val="00AB1905"/>
    <w:rPr>
      <w:rFonts w:ascii="Segoe UI" w:hAnsi="Segoe UI" w:cs="Segoe UI" w:hint="default"/>
      <w:sz w:val="18"/>
      <w:szCs w:val="18"/>
    </w:rPr>
  </w:style>
  <w:style w:type="character" w:customStyle="1" w:styleId="cf11">
    <w:name w:val="cf11"/>
    <w:basedOn w:val="Carpredefinitoparagrafo"/>
    <w:rsid w:val="00AB1905"/>
    <w:rPr>
      <w:rFonts w:ascii="Segoe UI" w:hAnsi="Segoe UI" w:cs="Segoe UI" w:hint="default"/>
      <w:sz w:val="18"/>
      <w:szCs w:val="18"/>
    </w:rPr>
  </w:style>
  <w:style w:type="character" w:customStyle="1" w:styleId="cf21">
    <w:name w:val="cf21"/>
    <w:basedOn w:val="Carpredefinitoparagrafo"/>
    <w:rsid w:val="00AB1905"/>
    <w:rPr>
      <w:rFonts w:ascii="Segoe UI" w:hAnsi="Segoe UI" w:cs="Segoe UI" w:hint="default"/>
      <w:b/>
      <w:bCs/>
      <w:sz w:val="18"/>
      <w:szCs w:val="18"/>
    </w:rPr>
  </w:style>
  <w:style w:type="character" w:customStyle="1" w:styleId="cf31">
    <w:name w:val="cf31"/>
    <w:basedOn w:val="Carpredefinitoparagrafo"/>
    <w:rsid w:val="00AB1905"/>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97226">
      <w:bodyDiv w:val="1"/>
      <w:marLeft w:val="0"/>
      <w:marRight w:val="0"/>
      <w:marTop w:val="0"/>
      <w:marBottom w:val="0"/>
      <w:divBdr>
        <w:top w:val="none" w:sz="0" w:space="0" w:color="auto"/>
        <w:left w:val="none" w:sz="0" w:space="0" w:color="auto"/>
        <w:bottom w:val="none" w:sz="0" w:space="0" w:color="auto"/>
        <w:right w:val="none" w:sz="0" w:space="0" w:color="auto"/>
      </w:divBdr>
    </w:div>
    <w:div w:id="676465011">
      <w:bodyDiv w:val="1"/>
      <w:marLeft w:val="0"/>
      <w:marRight w:val="0"/>
      <w:marTop w:val="0"/>
      <w:marBottom w:val="0"/>
      <w:divBdr>
        <w:top w:val="none" w:sz="0" w:space="0" w:color="auto"/>
        <w:left w:val="none" w:sz="0" w:space="0" w:color="auto"/>
        <w:bottom w:val="none" w:sz="0" w:space="0" w:color="auto"/>
        <w:right w:val="none" w:sz="0" w:space="0" w:color="auto"/>
      </w:divBdr>
    </w:div>
    <w:div w:id="748116369">
      <w:bodyDiv w:val="1"/>
      <w:marLeft w:val="0"/>
      <w:marRight w:val="0"/>
      <w:marTop w:val="0"/>
      <w:marBottom w:val="0"/>
      <w:divBdr>
        <w:top w:val="none" w:sz="0" w:space="0" w:color="auto"/>
        <w:left w:val="none" w:sz="0" w:space="0" w:color="auto"/>
        <w:bottom w:val="none" w:sz="0" w:space="0" w:color="auto"/>
        <w:right w:val="none" w:sz="0" w:space="0" w:color="auto"/>
      </w:divBdr>
    </w:div>
    <w:div w:id="1009794424">
      <w:bodyDiv w:val="1"/>
      <w:marLeft w:val="0"/>
      <w:marRight w:val="0"/>
      <w:marTop w:val="0"/>
      <w:marBottom w:val="0"/>
      <w:divBdr>
        <w:top w:val="none" w:sz="0" w:space="0" w:color="auto"/>
        <w:left w:val="none" w:sz="0" w:space="0" w:color="auto"/>
        <w:bottom w:val="none" w:sz="0" w:space="0" w:color="auto"/>
        <w:right w:val="none" w:sz="0" w:space="0" w:color="auto"/>
      </w:divBdr>
    </w:div>
    <w:div w:id="1724939060">
      <w:bodyDiv w:val="1"/>
      <w:marLeft w:val="0"/>
      <w:marRight w:val="0"/>
      <w:marTop w:val="0"/>
      <w:marBottom w:val="0"/>
      <w:divBdr>
        <w:top w:val="none" w:sz="0" w:space="0" w:color="auto"/>
        <w:left w:val="none" w:sz="0" w:space="0" w:color="auto"/>
        <w:bottom w:val="none" w:sz="0" w:space="0" w:color="auto"/>
        <w:right w:val="none" w:sz="0" w:space="0" w:color="auto"/>
      </w:divBdr>
    </w:div>
    <w:div w:id="211007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5346CBB66AB4CB0CB80AE164E4D50" ma:contentTypeVersion="0" ma:contentTypeDescription="Create a new document." ma:contentTypeScope="" ma:versionID="ea94073aae746946ee05e857dac4cfa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62812-1B70-4D23-B5E0-29C45A0BAA81}">
  <ds:schemaRefs>
    <ds:schemaRef ds:uri="http://schemas.microsoft.com/sharepoint/v3/contenttype/forms"/>
  </ds:schemaRefs>
</ds:datastoreItem>
</file>

<file path=customXml/itemProps2.xml><?xml version="1.0" encoding="utf-8"?>
<ds:datastoreItem xmlns:ds="http://schemas.openxmlformats.org/officeDocument/2006/customXml" ds:itemID="{1731B06F-A65F-4F7B-8408-047A8ED9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F47E6D-3AA4-4323-91C7-6910006AF853}">
  <ds:schemaRefs>
    <ds:schemaRef ds:uri="http://schemas.openxmlformats.org/officeDocument/2006/bibliography"/>
  </ds:schemaRefs>
</ds:datastoreItem>
</file>

<file path=customXml/itemProps4.xml><?xml version="1.0" encoding="utf-8"?>
<ds:datastoreItem xmlns:ds="http://schemas.openxmlformats.org/officeDocument/2006/customXml" ds:itemID="{CE998240-6164-4E8D-ACD4-0CF532E82F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2060</Words>
  <Characters>11745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3DESIGN</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Alessia Bernava</dc:creator>
  <cp:lastModifiedBy>Stefania Vicentini</cp:lastModifiedBy>
  <cp:revision>4</cp:revision>
  <cp:lastPrinted>2016-02-23T15:05:00Z</cp:lastPrinted>
  <dcterms:created xsi:type="dcterms:W3CDTF">2024-01-23T13:52:00Z</dcterms:created>
  <dcterms:modified xsi:type="dcterms:W3CDTF">2024-01-23T13:57:00Z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0x010100A8B5346CBB66AB4CB0CB80AE164E4D50</vt:lpwstr>
  </property>
</Properties>
</file>